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C5DE" w14:textId="20B7405D" w:rsidR="00AC2BC1" w:rsidRDefault="00641AB3" w:rsidP="00641AB3">
      <w:pPr>
        <w:pStyle w:val="Heading1"/>
        <w:jc w:val="center"/>
      </w:pPr>
      <w:r>
        <w:t>Infrastructure Acceleration Fund</w:t>
      </w:r>
      <w:r w:rsidR="00A0414C">
        <w:t xml:space="preserve"> (IAF)</w:t>
      </w:r>
      <w:r>
        <w:t xml:space="preserve"> – TDC Application </w:t>
      </w:r>
      <w:r w:rsidR="00F541EC">
        <w:t>for</w:t>
      </w:r>
      <w:r w:rsidR="00A0414C">
        <w:t xml:space="preserve"> Local Partnering on IAF Expression of Interest</w:t>
      </w:r>
    </w:p>
    <w:p w14:paraId="1F864298" w14:textId="4B99AFC6" w:rsidR="00641AB3" w:rsidRDefault="00641AB3" w:rsidP="00641AB3"/>
    <w:p w14:paraId="61F928F4" w14:textId="032C6BD1" w:rsidR="00E756AA" w:rsidRDefault="0058733F" w:rsidP="00E756AA">
      <w:pPr>
        <w:pStyle w:val="Heading2"/>
      </w:pPr>
      <w:r>
        <w:t>Purpose of TDC application</w:t>
      </w:r>
    </w:p>
    <w:p w14:paraId="1CE8DC2B" w14:textId="77777777" w:rsidR="00E756AA" w:rsidRPr="00E756AA" w:rsidRDefault="00E756AA" w:rsidP="00E756AA"/>
    <w:p w14:paraId="348631DB" w14:textId="77777777" w:rsidR="0068096A" w:rsidRDefault="00641AB3" w:rsidP="00641AB3">
      <w:r>
        <w:rPr>
          <w:b/>
          <w:bCs/>
        </w:rPr>
        <w:t>Purpose:</w:t>
      </w:r>
      <w:r>
        <w:t xml:space="preserve"> </w:t>
      </w:r>
    </w:p>
    <w:p w14:paraId="40FA25D3" w14:textId="69198890" w:rsidR="00641AB3" w:rsidRDefault="00E756AA" w:rsidP="00641AB3">
      <w:r>
        <w:t>To i</w:t>
      </w:r>
      <w:r w:rsidR="00641AB3">
        <w:t xml:space="preserve">dentify potential opportunities </w:t>
      </w:r>
      <w:r w:rsidR="0058733F">
        <w:t>from interested parties to work with Timaru District Council on an application to the Infrastructure Acceleration Fund Expression of Interest application.</w:t>
      </w:r>
    </w:p>
    <w:p w14:paraId="6C5065D3" w14:textId="0DC9AFF8" w:rsidR="0068096A" w:rsidRPr="00920627" w:rsidRDefault="00E66FD8" w:rsidP="0068096A">
      <w:pPr>
        <w:pStyle w:val="ListParagraph"/>
        <w:numPr>
          <w:ilvl w:val="0"/>
          <w:numId w:val="15"/>
        </w:numPr>
        <w:spacing w:before="60" w:after="60" w:line="276" w:lineRule="auto"/>
        <w:contextualSpacing/>
        <w:rPr>
          <w:sz w:val="20"/>
          <w:szCs w:val="20"/>
        </w:rPr>
      </w:pPr>
      <w:r>
        <w:rPr>
          <w:sz w:val="20"/>
          <w:szCs w:val="20"/>
        </w:rPr>
        <w:t>Proposals will need to</w:t>
      </w:r>
      <w:r w:rsidR="0068096A" w:rsidRPr="00920627">
        <w:rPr>
          <w:sz w:val="20"/>
          <w:szCs w:val="20"/>
        </w:rPr>
        <w:t xml:space="preserve"> identify development area(s) that would meet the Infrastructure Acceleration Fund (IAF) criteria</w:t>
      </w:r>
      <w:r w:rsidR="0068096A">
        <w:rPr>
          <w:sz w:val="20"/>
          <w:szCs w:val="20"/>
        </w:rPr>
        <w:t xml:space="preserve"> to deliver 30 additional affordable houses in the Timaru district</w:t>
      </w:r>
      <w:r w:rsidR="0068096A" w:rsidRPr="00920627">
        <w:rPr>
          <w:sz w:val="20"/>
          <w:szCs w:val="20"/>
        </w:rPr>
        <w:t>.</w:t>
      </w:r>
    </w:p>
    <w:p w14:paraId="7C4496CD" w14:textId="2F16E002" w:rsidR="0058733F" w:rsidRDefault="0058733F" w:rsidP="00641AB3">
      <w:r>
        <w:t xml:space="preserve">The application can take the form of the interested party identifying themselves to be </w:t>
      </w:r>
      <w:r w:rsidR="00E66FD8">
        <w:t>a</w:t>
      </w:r>
      <w:r>
        <w:t xml:space="preserve"> partner on a TDC led application or the party leading their own application with TDC as a partner.</w:t>
      </w:r>
    </w:p>
    <w:p w14:paraId="5D5A804D" w14:textId="5E43E909" w:rsidR="0058733F" w:rsidRDefault="0058733F" w:rsidP="00641AB3">
      <w:r>
        <w:t>To ensure a fair and transparent process TDC has initiated a local expression of interest application to identify potential partner applications.  The applications will be assessed against the IAF criteria</w:t>
      </w:r>
      <w:r w:rsidR="00E66FD8">
        <w:t>,</w:t>
      </w:r>
      <w:r>
        <w:t xml:space="preserve"> the requested role </w:t>
      </w:r>
      <w:r w:rsidR="00E66FD8">
        <w:t xml:space="preserve">and requested requirements </w:t>
      </w:r>
      <w:r>
        <w:t>of TDC as a partner, and</w:t>
      </w:r>
      <w:r w:rsidR="00E66FD8">
        <w:t xml:space="preserve"> how the proposal will </w:t>
      </w:r>
      <w:r w:rsidR="00E66FD8">
        <w:t>deliver 30+ affordable houses in the Timaru District</w:t>
      </w:r>
      <w:r>
        <w:t>.</w:t>
      </w:r>
    </w:p>
    <w:p w14:paraId="488E35CC" w14:textId="694A0F11" w:rsidR="00BB110E" w:rsidRDefault="00BB110E" w:rsidP="00641AB3">
      <w:r>
        <w:t xml:space="preserve">There is no indication in this local application process that the proposed project and support will be provided.  TDC will run a competitive process to identify potential local partners that have </w:t>
      </w:r>
      <w:r w:rsidR="00E66FD8">
        <w:t>the</w:t>
      </w:r>
      <w:r>
        <w:t xml:space="preserve"> highest potential to be successful in an IAF EOI application.</w:t>
      </w:r>
      <w:r w:rsidR="00E66FD8">
        <w:t xml:space="preserve"> This does not </w:t>
      </w:r>
      <w:r w:rsidR="006D4746">
        <w:t xml:space="preserve">stop any party from applying for IAF EOI on their own.  </w:t>
      </w:r>
      <w:r>
        <w:t xml:space="preserve">  </w:t>
      </w:r>
    </w:p>
    <w:p w14:paraId="29814EE2" w14:textId="65BECACA" w:rsidR="00BB110E" w:rsidRDefault="00BB110E" w:rsidP="00641AB3">
      <w:r>
        <w:t>Applications through this local process, if not successful, will also help provide further information on potential opportunities and support feedback into other Council work programmes (i.e., District Plan Review</w:t>
      </w:r>
      <w:r w:rsidR="006D4746">
        <w:t xml:space="preserve"> and</w:t>
      </w:r>
      <w:r>
        <w:t xml:space="preserve"> Growth Management Strategy). </w:t>
      </w:r>
    </w:p>
    <w:p w14:paraId="51A76CF3" w14:textId="77777777" w:rsidR="00BB110E" w:rsidRDefault="00BB110E" w:rsidP="00BB110E">
      <w:pPr>
        <w:pStyle w:val="Heading2"/>
      </w:pPr>
      <w:r>
        <w:t>Application Process</w:t>
      </w:r>
    </w:p>
    <w:p w14:paraId="71116C1C" w14:textId="2FB6D18A" w:rsidR="00BB110E" w:rsidRDefault="00BB110E" w:rsidP="00BB110E">
      <w:pPr>
        <w:pStyle w:val="ListParagraph"/>
        <w:numPr>
          <w:ilvl w:val="0"/>
          <w:numId w:val="7"/>
        </w:numPr>
      </w:pPr>
      <w:r>
        <w:t xml:space="preserve">The IAF EOI for the Government response is due 5pm 18 August 2021, this requires a quick turn around for the local application process.  It is noted that the Government IAF application is a </w:t>
      </w:r>
      <w:r w:rsidR="008A5B3C">
        <w:t>high-level</w:t>
      </w:r>
      <w:r>
        <w:t xml:space="preserve"> expression of interest so information required at this stage can remain high level with further refinement if the application proceeds. </w:t>
      </w:r>
    </w:p>
    <w:p w14:paraId="6D5C60D7" w14:textId="6AEEFFE5" w:rsidR="00AF0955" w:rsidRDefault="00BB110E" w:rsidP="00BB110E">
      <w:pPr>
        <w:pStyle w:val="ListParagraph"/>
        <w:numPr>
          <w:ilvl w:val="0"/>
          <w:numId w:val="7"/>
        </w:numPr>
      </w:pPr>
      <w:r>
        <w:t xml:space="preserve">The local EOI will </w:t>
      </w:r>
      <w:r w:rsidR="00AF0955">
        <w:t xml:space="preserve">open on </w:t>
      </w:r>
      <w:r w:rsidR="00083C20">
        <w:t>20</w:t>
      </w:r>
      <w:r w:rsidR="00AF0955">
        <w:t xml:space="preserve"> July and close at 5pm on 26 July.  </w:t>
      </w:r>
    </w:p>
    <w:p w14:paraId="1645A182" w14:textId="0DD9056F" w:rsidR="00BB110E" w:rsidRDefault="00AF0955" w:rsidP="00AF0955">
      <w:pPr>
        <w:pStyle w:val="ListParagraph"/>
        <w:numPr>
          <w:ilvl w:val="0"/>
          <w:numId w:val="7"/>
        </w:numPr>
      </w:pPr>
      <w:r>
        <w:t xml:space="preserve">Evaluation of local EOI applications will occur from 27 July to 29 July, successful applicants will be notified on 30 July. </w:t>
      </w:r>
      <w:r w:rsidR="00BB110E">
        <w:t xml:space="preserve"> </w:t>
      </w:r>
    </w:p>
    <w:p w14:paraId="22CD31E6" w14:textId="382950DC" w:rsidR="00641AB3" w:rsidRDefault="00641AB3" w:rsidP="00641AB3"/>
    <w:p w14:paraId="2DCE636B" w14:textId="556D027C" w:rsidR="0058733F" w:rsidRDefault="0058733F" w:rsidP="0058733F">
      <w:pPr>
        <w:pStyle w:val="Heading2"/>
      </w:pPr>
      <w:r>
        <w:t>Criteria for TDC expression of interest application</w:t>
      </w:r>
    </w:p>
    <w:p w14:paraId="78706B56" w14:textId="24FB91F6" w:rsidR="00052F62" w:rsidRDefault="0058733F" w:rsidP="0058733F">
      <w:pPr>
        <w:pStyle w:val="ListParagraph"/>
        <w:numPr>
          <w:ilvl w:val="0"/>
          <w:numId w:val="13"/>
        </w:numPr>
      </w:pPr>
      <w:r>
        <w:t>C</w:t>
      </w:r>
      <w:r w:rsidR="00052F62">
        <w:t>onsider</w:t>
      </w:r>
      <w:r>
        <w:t>ation</w:t>
      </w:r>
      <w:r w:rsidR="006C6DB6">
        <w:t xml:space="preserve"> of</w:t>
      </w:r>
      <w:r w:rsidR="00052F62">
        <w:t xml:space="preserve"> how the </w:t>
      </w:r>
      <w:r>
        <w:t>identified project(s)</w:t>
      </w:r>
      <w:r w:rsidR="00052F62">
        <w:t xml:space="preserve"> would contribute to the criteria of the IAF</w:t>
      </w:r>
      <w:r w:rsidR="006C6DB6">
        <w:t xml:space="preserve"> with specific indication of how the project(s) would contribute to Timaru District</w:t>
      </w:r>
      <w:r w:rsidR="00311FCB">
        <w:t xml:space="preserve"> to deliver 30+ affordable houses</w:t>
      </w:r>
      <w:r w:rsidR="006C6DB6">
        <w:t>:</w:t>
      </w:r>
    </w:p>
    <w:p w14:paraId="49256CB2" w14:textId="39FB7F3D" w:rsidR="00052F62" w:rsidRDefault="00052F62" w:rsidP="008B3082">
      <w:pPr>
        <w:pStyle w:val="ListParagraph"/>
        <w:numPr>
          <w:ilvl w:val="1"/>
          <w:numId w:val="13"/>
        </w:numPr>
      </w:pPr>
      <w:r w:rsidRPr="008B3082">
        <w:rPr>
          <w:b/>
          <w:bCs/>
        </w:rPr>
        <w:t xml:space="preserve">Housing outcomes: </w:t>
      </w:r>
      <w:r>
        <w:t>how will the Proposal, if delivered, contribute to the housing outcomes that are the purpose of the Infrastructure Fund?</w:t>
      </w:r>
    </w:p>
    <w:p w14:paraId="3BC7B95D" w14:textId="0CAC160E" w:rsidR="00052F62" w:rsidRDefault="00052F62" w:rsidP="008B3082">
      <w:pPr>
        <w:pStyle w:val="ListParagraph"/>
        <w:numPr>
          <w:ilvl w:val="1"/>
          <w:numId w:val="13"/>
        </w:numPr>
      </w:pPr>
      <w:r w:rsidRPr="008B3082">
        <w:rPr>
          <w:b/>
          <w:bCs/>
        </w:rPr>
        <w:t xml:space="preserve">Impact of funding: </w:t>
      </w:r>
      <w:r>
        <w:t>how critical is this funding to advancing the infrastructure and housing development?</w:t>
      </w:r>
    </w:p>
    <w:p w14:paraId="781EF04F" w14:textId="5B8EF618" w:rsidR="00052F62" w:rsidRDefault="00052F62" w:rsidP="008B3082">
      <w:pPr>
        <w:pStyle w:val="ListParagraph"/>
        <w:numPr>
          <w:ilvl w:val="1"/>
          <w:numId w:val="13"/>
        </w:numPr>
      </w:pPr>
      <w:r w:rsidRPr="008B3082">
        <w:rPr>
          <w:b/>
          <w:bCs/>
        </w:rPr>
        <w:lastRenderedPageBreak/>
        <w:t>Cost and co-funding:</w:t>
      </w:r>
      <w:r>
        <w:t xml:space="preserve"> how cost effective is the Proposal and is everyone paying their fair share?</w:t>
      </w:r>
    </w:p>
    <w:p w14:paraId="63A86303" w14:textId="3E941263" w:rsidR="003F06A3" w:rsidRDefault="00052F62" w:rsidP="003F06A3">
      <w:pPr>
        <w:pStyle w:val="ListParagraph"/>
        <w:numPr>
          <w:ilvl w:val="1"/>
          <w:numId w:val="13"/>
        </w:numPr>
      </w:pPr>
      <w:r w:rsidRPr="008B3082">
        <w:rPr>
          <w:b/>
          <w:bCs/>
        </w:rPr>
        <w:t>Capability and readiness:</w:t>
      </w:r>
      <w:r>
        <w:t xml:space="preserve"> if funding is approved, how certain is it that the project will advance, and at what pace?</w:t>
      </w:r>
    </w:p>
    <w:p w14:paraId="704E33FF" w14:textId="0CCBF5DD" w:rsidR="003F06A3" w:rsidRDefault="003F06A3" w:rsidP="008B3082">
      <w:pPr>
        <w:pStyle w:val="ListParagraph"/>
        <w:numPr>
          <w:ilvl w:val="0"/>
          <w:numId w:val="13"/>
        </w:numPr>
      </w:pPr>
      <w:r>
        <w:t xml:space="preserve">Consideration of what the applicant will provide as a partner in the project.  Identify funding contributed, resources, etc. </w:t>
      </w:r>
    </w:p>
    <w:p w14:paraId="07A3E6C5" w14:textId="3F60AE5A" w:rsidR="006B3C14" w:rsidRDefault="006B3C14" w:rsidP="008B3082">
      <w:pPr>
        <w:pStyle w:val="ListParagraph"/>
        <w:numPr>
          <w:ilvl w:val="0"/>
          <w:numId w:val="13"/>
        </w:numPr>
      </w:pPr>
      <w:r>
        <w:t xml:space="preserve">Consideration of what is required from TDC for the proposed project. </w:t>
      </w:r>
    </w:p>
    <w:p w14:paraId="7B7B6D84" w14:textId="793E9104" w:rsidR="00052F62" w:rsidRDefault="008B3082" w:rsidP="008B3082">
      <w:pPr>
        <w:pStyle w:val="ListParagraph"/>
        <w:numPr>
          <w:ilvl w:val="0"/>
          <w:numId w:val="13"/>
        </w:numPr>
      </w:pPr>
      <w:r>
        <w:t xml:space="preserve">Consideration of the desired role </w:t>
      </w:r>
      <w:r w:rsidR="006C6DB6">
        <w:t xml:space="preserve">and input required from </w:t>
      </w:r>
      <w:r>
        <w:t xml:space="preserve">TDC in the application. </w:t>
      </w:r>
    </w:p>
    <w:p w14:paraId="0302D529" w14:textId="76095001" w:rsidR="008B3082" w:rsidRDefault="00BB110E" w:rsidP="008B3082">
      <w:pPr>
        <w:pStyle w:val="ListParagraph"/>
        <w:numPr>
          <w:ilvl w:val="1"/>
          <w:numId w:val="13"/>
        </w:numPr>
      </w:pPr>
      <w:r>
        <w:t>‘</w:t>
      </w:r>
      <w:r w:rsidR="006C6DB6">
        <w:t>TDC as le</w:t>
      </w:r>
      <w:r>
        <w:t>a</w:t>
      </w:r>
      <w:r w:rsidR="006C6DB6">
        <w:t xml:space="preserve">d and applicant working as a partner on TDC </w:t>
      </w:r>
      <w:r>
        <w:t xml:space="preserve">application’ or ‘Applicating as lead with TDC acting as a partner to the </w:t>
      </w:r>
      <w:proofErr w:type="gramStart"/>
      <w:r>
        <w:t>applicants</w:t>
      </w:r>
      <w:proofErr w:type="gramEnd"/>
      <w:r>
        <w:t xml:space="preserve"> application’.</w:t>
      </w:r>
    </w:p>
    <w:p w14:paraId="5E4F35F7" w14:textId="55061396" w:rsidR="00BB110E" w:rsidRDefault="00BB110E" w:rsidP="008B3082">
      <w:pPr>
        <w:pStyle w:val="ListParagraph"/>
        <w:numPr>
          <w:ilvl w:val="1"/>
          <w:numId w:val="13"/>
        </w:numPr>
      </w:pPr>
      <w:r>
        <w:t>Resources required from TDC to make the application successful: identify support in respect to infrastructure requirements, estimated contribution of funding, policy changes, application support, or other.</w:t>
      </w:r>
    </w:p>
    <w:p w14:paraId="3BAC5513" w14:textId="391D7D0D" w:rsidR="006B3C14" w:rsidRDefault="006B3C14" w:rsidP="00AF0955">
      <w:pPr>
        <w:pStyle w:val="ListParagraph"/>
        <w:numPr>
          <w:ilvl w:val="0"/>
          <w:numId w:val="13"/>
        </w:numPr>
      </w:pPr>
      <w:r>
        <w:t xml:space="preserve">Consideration of how quickly this project could be initiated and completed. </w:t>
      </w:r>
    </w:p>
    <w:p w14:paraId="2176054F" w14:textId="1FE552F5" w:rsidR="008B3082" w:rsidRDefault="00AF0955" w:rsidP="00AF0955">
      <w:pPr>
        <w:pStyle w:val="ListParagraph"/>
        <w:numPr>
          <w:ilvl w:val="0"/>
          <w:numId w:val="13"/>
        </w:numPr>
      </w:pPr>
      <w:r>
        <w:t>Ability to be available and actively participate in Government IAF EOI application workshops and provide resources to obtain and source supporting evidence and development costs/resource requirements with Council and support development of final application due by 5pm 18 Aug 2021. (For successful candidates to the local EOI this would occur from 2 Aug to 18 Aug)</w:t>
      </w:r>
    </w:p>
    <w:p w14:paraId="2F3E03F4" w14:textId="77777777" w:rsidR="00052F62" w:rsidRDefault="00052F62" w:rsidP="00641AB3"/>
    <w:p w14:paraId="4DA83DDE" w14:textId="77777777" w:rsidR="00052F62" w:rsidRDefault="00052F62">
      <w:pPr>
        <w:rPr>
          <w:rFonts w:asciiTheme="majorHAnsi" w:eastAsiaTheme="majorEastAsia" w:hAnsiTheme="majorHAnsi" w:cstheme="majorBidi"/>
          <w:color w:val="2F5496" w:themeColor="accent1" w:themeShade="BF"/>
          <w:sz w:val="26"/>
          <w:szCs w:val="26"/>
        </w:rPr>
      </w:pPr>
      <w:r>
        <w:br w:type="page"/>
      </w:r>
    </w:p>
    <w:p w14:paraId="63F57C86" w14:textId="291E0CA6" w:rsidR="00E66FD8" w:rsidRPr="00E66FD8" w:rsidRDefault="00E756AA" w:rsidP="00E66FD8">
      <w:pPr>
        <w:pStyle w:val="Heading2"/>
        <w:rPr>
          <w:rStyle w:val="A1"/>
          <w:rFonts w:cstheme="majorBidi"/>
          <w:b w:val="0"/>
          <w:bCs w:val="0"/>
          <w:color w:val="2F5496" w:themeColor="accent1" w:themeShade="BF"/>
          <w:sz w:val="26"/>
          <w:szCs w:val="26"/>
        </w:rPr>
      </w:pPr>
      <w:r>
        <w:lastRenderedPageBreak/>
        <w:t xml:space="preserve">Background </w:t>
      </w:r>
      <w:r w:rsidR="00F517E5">
        <w:t>to the Government Infrastructure Acceleration Fund Expression of Interest Round</w:t>
      </w:r>
    </w:p>
    <w:p w14:paraId="346439A5" w14:textId="143F859C" w:rsidR="003F5C12" w:rsidRPr="003F5C12" w:rsidRDefault="003F5C12" w:rsidP="006C65E0">
      <w:pPr>
        <w:pStyle w:val="ListParagraph"/>
        <w:numPr>
          <w:ilvl w:val="0"/>
          <w:numId w:val="4"/>
        </w:numPr>
        <w:rPr>
          <w:rStyle w:val="A1"/>
          <w:rFonts w:cs="Calibri"/>
          <w:b w:val="0"/>
          <w:bCs w:val="0"/>
          <w:color w:val="auto"/>
        </w:rPr>
      </w:pPr>
      <w:r>
        <w:rPr>
          <w:rStyle w:val="A1"/>
          <w:rFonts w:cs="Calibri"/>
          <w:b w:val="0"/>
          <w:bCs w:val="0"/>
          <w:color w:val="auto"/>
        </w:rPr>
        <w:t>In March 2021 Government agreed to a suite of demand and supply-side measures to address housing affordability, support first home buyers and better incentivise investment in new homes. This included establishing a Housing Acceleration Fund comprising the Kainga Ora Land Programme, Infrastructure Fund, and changes to the Land for Housing Programme.</w:t>
      </w:r>
    </w:p>
    <w:p w14:paraId="3987296F" w14:textId="65DEEE2E" w:rsidR="006C65E0" w:rsidRPr="006C65E0" w:rsidRDefault="006C65E0" w:rsidP="006C65E0">
      <w:pPr>
        <w:pStyle w:val="ListParagraph"/>
        <w:numPr>
          <w:ilvl w:val="0"/>
          <w:numId w:val="4"/>
        </w:numPr>
        <w:rPr>
          <w:rStyle w:val="A1"/>
          <w:rFonts w:cs="Calibri"/>
          <w:b w:val="0"/>
          <w:bCs w:val="0"/>
          <w:color w:val="auto"/>
        </w:rPr>
      </w:pPr>
      <w:r w:rsidRPr="006C65E0">
        <w:rPr>
          <w:rStyle w:val="A1"/>
          <w:b w:val="0"/>
          <w:bCs w:val="0"/>
        </w:rPr>
        <w:t>The Infrastructure Acceleration Fund (IAF) is part of the Government’s $3.8 billion Housing Acceleration Fund announced in March 2021.</w:t>
      </w:r>
    </w:p>
    <w:p w14:paraId="446299FC" w14:textId="47374477" w:rsidR="006C65E0" w:rsidRPr="006C65E0" w:rsidRDefault="006C65E0" w:rsidP="006C65E0">
      <w:pPr>
        <w:pStyle w:val="ListParagraph"/>
        <w:numPr>
          <w:ilvl w:val="0"/>
          <w:numId w:val="4"/>
        </w:numPr>
        <w:rPr>
          <w:rStyle w:val="A1"/>
          <w:rFonts w:cs="Calibri"/>
          <w:b w:val="0"/>
          <w:bCs w:val="0"/>
          <w:color w:val="auto"/>
        </w:rPr>
      </w:pPr>
      <w:r w:rsidRPr="006C65E0">
        <w:rPr>
          <w:rStyle w:val="A1"/>
          <w:b w:val="0"/>
          <w:bCs w:val="0"/>
        </w:rPr>
        <w:t xml:space="preserve">The IAF is a contestable fund of at least $1 billion for infrastructure investment to support new housing supply </w:t>
      </w:r>
      <w:proofErr w:type="gramStart"/>
      <w:r w:rsidRPr="006C65E0">
        <w:rPr>
          <w:rStyle w:val="A1"/>
          <w:b w:val="0"/>
          <w:bCs w:val="0"/>
        </w:rPr>
        <w:t>where</w:t>
      </w:r>
      <w:proofErr w:type="gramEnd"/>
      <w:r w:rsidRPr="006C65E0">
        <w:rPr>
          <w:rStyle w:val="A1"/>
          <w:b w:val="0"/>
          <w:bCs w:val="0"/>
        </w:rPr>
        <w:t xml:space="preserve"> infrastructure providers face funding and finance barriers. The IAF is designed to allocate funding to infrastructure projects that unlock housing development in the short to medium-term and enable a meaningful contribution to housing outcomes in areas of need.</w:t>
      </w:r>
    </w:p>
    <w:p w14:paraId="3594C8F1" w14:textId="3A2D2D79" w:rsidR="006C65E0" w:rsidRPr="006C65E0" w:rsidRDefault="006C65E0" w:rsidP="006C65E0">
      <w:pPr>
        <w:pStyle w:val="ListParagraph"/>
        <w:numPr>
          <w:ilvl w:val="0"/>
          <w:numId w:val="4"/>
        </w:numPr>
      </w:pPr>
      <w:r w:rsidRPr="006C65E0">
        <w:rPr>
          <w:rStyle w:val="A1"/>
          <w:b w:val="0"/>
          <w:bCs w:val="0"/>
        </w:rPr>
        <w:t>The process will include consideration of contributions from councils, developers and others</w:t>
      </w:r>
      <w:r w:rsidR="009119BF">
        <w:rPr>
          <w:rStyle w:val="A1"/>
          <w:b w:val="0"/>
          <w:bCs w:val="0"/>
        </w:rPr>
        <w:t>,</w:t>
      </w:r>
      <w:r w:rsidRPr="006C65E0">
        <w:rPr>
          <w:rStyle w:val="A1"/>
          <w:b w:val="0"/>
          <w:bCs w:val="0"/>
        </w:rPr>
        <w:t xml:space="preserve"> both financial </w:t>
      </w:r>
      <w:proofErr w:type="gramStart"/>
      <w:r w:rsidRPr="006C65E0">
        <w:rPr>
          <w:rStyle w:val="A1"/>
          <w:b w:val="0"/>
          <w:bCs w:val="0"/>
        </w:rPr>
        <w:t>or</w:t>
      </w:r>
      <w:proofErr w:type="gramEnd"/>
      <w:r w:rsidRPr="006C65E0">
        <w:rPr>
          <w:rStyle w:val="A1"/>
          <w:b w:val="0"/>
          <w:bCs w:val="0"/>
        </w:rPr>
        <w:t xml:space="preserve"> non-financial, to ensure that government investment will have maximum impact. </w:t>
      </w:r>
    </w:p>
    <w:p w14:paraId="6937404E" w14:textId="2916E2C9" w:rsidR="006C65E0" w:rsidRPr="001A7311" w:rsidRDefault="006C65E0" w:rsidP="006C65E0">
      <w:pPr>
        <w:pStyle w:val="ListParagraph"/>
        <w:numPr>
          <w:ilvl w:val="0"/>
          <w:numId w:val="4"/>
        </w:numPr>
        <w:rPr>
          <w:rStyle w:val="A1"/>
          <w:rFonts w:cs="Calibri"/>
          <w:b w:val="0"/>
          <w:bCs w:val="0"/>
          <w:color w:val="auto"/>
        </w:rPr>
      </w:pPr>
      <w:r w:rsidRPr="006C65E0">
        <w:rPr>
          <w:rStyle w:val="A1"/>
          <w:b w:val="0"/>
          <w:bCs w:val="0"/>
        </w:rPr>
        <w:t xml:space="preserve">The IAF will be administered by </w:t>
      </w:r>
      <w:proofErr w:type="spellStart"/>
      <w:r w:rsidRPr="006C65E0">
        <w:rPr>
          <w:rStyle w:val="A1"/>
          <w:b w:val="0"/>
          <w:bCs w:val="0"/>
        </w:rPr>
        <w:t>Kāinga</w:t>
      </w:r>
      <w:proofErr w:type="spellEnd"/>
      <w:r w:rsidRPr="006C65E0">
        <w:rPr>
          <w:rStyle w:val="A1"/>
          <w:b w:val="0"/>
          <w:bCs w:val="0"/>
        </w:rPr>
        <w:t xml:space="preserve"> Ora – Homes and Communities.</w:t>
      </w:r>
    </w:p>
    <w:p w14:paraId="5A8DBCAC" w14:textId="77777777" w:rsidR="001A7311" w:rsidRDefault="001A7311" w:rsidP="001A7311">
      <w:pPr>
        <w:pStyle w:val="ListParagraph"/>
        <w:numPr>
          <w:ilvl w:val="0"/>
          <w:numId w:val="4"/>
        </w:numPr>
      </w:pPr>
      <w:r>
        <w:t>The IAF will address some of the underlying barriers to supply by: </w:t>
      </w:r>
    </w:p>
    <w:p w14:paraId="0A8BEF19" w14:textId="20D74C81" w:rsidR="001A7311" w:rsidRDefault="001A7311" w:rsidP="001A7311">
      <w:pPr>
        <w:pStyle w:val="ListParagraph"/>
        <w:numPr>
          <w:ilvl w:val="1"/>
          <w:numId w:val="4"/>
        </w:numPr>
      </w:pPr>
      <w:r>
        <w:t xml:space="preserve">opening up more land for housing development, particularly in locations close to jobs and </w:t>
      </w:r>
      <w:proofErr w:type="gramStart"/>
      <w:r>
        <w:t>amenities;</w:t>
      </w:r>
      <w:proofErr w:type="gramEnd"/>
    </w:p>
    <w:p w14:paraId="3560590A" w14:textId="2891BE14" w:rsidR="001A7311" w:rsidRDefault="001A7311" w:rsidP="001A7311">
      <w:pPr>
        <w:pStyle w:val="ListParagraph"/>
        <w:numPr>
          <w:ilvl w:val="1"/>
          <w:numId w:val="4"/>
        </w:numPr>
      </w:pPr>
      <w:r>
        <w:t xml:space="preserve">helping to fund the critical infrastructure needed for that </w:t>
      </w:r>
      <w:proofErr w:type="gramStart"/>
      <w:r>
        <w:t>development;</w:t>
      </w:r>
      <w:proofErr w:type="gramEnd"/>
    </w:p>
    <w:p w14:paraId="4C44AEFF" w14:textId="499EB4F6" w:rsidR="001A7311" w:rsidRDefault="001A7311" w:rsidP="001A7311">
      <w:pPr>
        <w:pStyle w:val="ListParagraph"/>
        <w:numPr>
          <w:ilvl w:val="1"/>
          <w:numId w:val="4"/>
        </w:numPr>
      </w:pPr>
      <w:r>
        <w:t>allowing for a wider mix of housing that is affordable for low- to moderate-income households to own or rent; and</w:t>
      </w:r>
    </w:p>
    <w:p w14:paraId="01FA48BA" w14:textId="122DC8D8" w:rsidR="001A7311" w:rsidRDefault="001A7311" w:rsidP="001A7311">
      <w:pPr>
        <w:pStyle w:val="ListParagraph"/>
        <w:numPr>
          <w:ilvl w:val="1"/>
          <w:numId w:val="4"/>
        </w:numPr>
      </w:pPr>
      <w:r>
        <w:t>freeing up development-ready land and accelerating housing development to moderate growth in house and land prices.</w:t>
      </w:r>
    </w:p>
    <w:p w14:paraId="31830C7B" w14:textId="5D6DDADA" w:rsidR="006C65E0" w:rsidRPr="006C65E0" w:rsidRDefault="006C65E0" w:rsidP="006C65E0">
      <w:pPr>
        <w:pStyle w:val="ListParagraph"/>
        <w:numPr>
          <w:ilvl w:val="0"/>
          <w:numId w:val="4"/>
        </w:numPr>
        <w:rPr>
          <w:rStyle w:val="A1"/>
          <w:rFonts w:cs="Calibri"/>
          <w:b w:val="0"/>
          <w:bCs w:val="0"/>
          <w:color w:val="auto"/>
        </w:rPr>
      </w:pPr>
      <w:r>
        <w:rPr>
          <w:rStyle w:val="A1"/>
          <w:b w:val="0"/>
          <w:bCs w:val="0"/>
        </w:rPr>
        <w:t>T</w:t>
      </w:r>
      <w:r w:rsidRPr="006C65E0">
        <w:rPr>
          <w:rStyle w:val="A1"/>
          <w:b w:val="0"/>
          <w:bCs w:val="0"/>
        </w:rPr>
        <w:t>o secure the greatest impact from the IAF, locations that have infrastructure constraints and are facing the biggest housing supply and affordability issues will be prioritised, while also ensuring that there is an ability for quality projects from anywhere in Aotearoa to receive funding</w:t>
      </w:r>
      <w:r w:rsidR="001A7311">
        <w:rPr>
          <w:rStyle w:val="A1"/>
          <w:b w:val="0"/>
          <w:bCs w:val="0"/>
        </w:rPr>
        <w:t xml:space="preserve"> (see attached map).</w:t>
      </w:r>
    </w:p>
    <w:p w14:paraId="738F4091" w14:textId="662DEA7E" w:rsidR="006C65E0" w:rsidRPr="003F5C12" w:rsidRDefault="006C65E0" w:rsidP="001A7311">
      <w:pPr>
        <w:pStyle w:val="ListParagraph"/>
        <w:numPr>
          <w:ilvl w:val="1"/>
          <w:numId w:val="4"/>
        </w:numPr>
        <w:rPr>
          <w:rStyle w:val="A1"/>
          <w:rFonts w:cs="Calibri"/>
          <w:b w:val="0"/>
          <w:bCs w:val="0"/>
          <w:color w:val="auto"/>
        </w:rPr>
      </w:pPr>
      <w:r>
        <w:rPr>
          <w:rStyle w:val="A1"/>
          <w:b w:val="0"/>
          <w:bCs w:val="0"/>
        </w:rPr>
        <w:t xml:space="preserve">Timaru District </w:t>
      </w:r>
      <w:r w:rsidR="003F5C12">
        <w:rPr>
          <w:rStyle w:val="A1"/>
          <w:b w:val="0"/>
          <w:bCs w:val="0"/>
        </w:rPr>
        <w:t>is in</w:t>
      </w:r>
      <w:r>
        <w:rPr>
          <w:rStyle w:val="A1"/>
          <w:b w:val="0"/>
          <w:bCs w:val="0"/>
        </w:rPr>
        <w:t xml:space="preserve"> the ‘other locations’ region, indicating an expectation to deliver </w:t>
      </w:r>
      <w:r w:rsidR="003F5C12">
        <w:rPr>
          <w:rStyle w:val="A1"/>
          <w:b w:val="0"/>
          <w:bCs w:val="0"/>
        </w:rPr>
        <w:t xml:space="preserve">at least 30 additional homes. </w:t>
      </w:r>
    </w:p>
    <w:p w14:paraId="0A89C376" w14:textId="4F7C5077" w:rsidR="003F5C12" w:rsidRPr="003F5C12" w:rsidRDefault="003F5C12" w:rsidP="006C65E0">
      <w:pPr>
        <w:pStyle w:val="ListParagraph"/>
        <w:numPr>
          <w:ilvl w:val="0"/>
          <w:numId w:val="4"/>
        </w:numPr>
        <w:rPr>
          <w:rStyle w:val="A1"/>
          <w:rFonts w:cs="Calibri"/>
          <w:b w:val="0"/>
          <w:bCs w:val="0"/>
          <w:color w:val="auto"/>
        </w:rPr>
      </w:pPr>
      <w:r>
        <w:rPr>
          <w:rStyle w:val="A1"/>
          <w:b w:val="0"/>
          <w:bCs w:val="0"/>
        </w:rPr>
        <w:t>The objective for the Infrastructure Fund is to invest in infrastructure that unlocks housing development, and that this infrastructure investment will:</w:t>
      </w:r>
    </w:p>
    <w:p w14:paraId="6F27D313" w14:textId="7FC73C89" w:rsidR="003F5C12" w:rsidRPr="003F5C12" w:rsidRDefault="003F5C12" w:rsidP="003F5C12">
      <w:pPr>
        <w:pStyle w:val="ListParagraph"/>
        <w:numPr>
          <w:ilvl w:val="1"/>
          <w:numId w:val="4"/>
        </w:numPr>
        <w:rPr>
          <w:rStyle w:val="A1"/>
          <w:rFonts w:cs="Calibri"/>
          <w:b w:val="0"/>
          <w:bCs w:val="0"/>
          <w:color w:val="auto"/>
        </w:rPr>
      </w:pPr>
      <w:r>
        <w:rPr>
          <w:rStyle w:val="A1"/>
          <w:b w:val="0"/>
          <w:bCs w:val="0"/>
        </w:rPr>
        <w:t xml:space="preserve">Enable brownfield intensification and greenfield expansion in locations with access to amenity and </w:t>
      </w:r>
      <w:proofErr w:type="gramStart"/>
      <w:r>
        <w:rPr>
          <w:rStyle w:val="A1"/>
          <w:b w:val="0"/>
          <w:bCs w:val="0"/>
        </w:rPr>
        <w:t>opportunity;</w:t>
      </w:r>
      <w:proofErr w:type="gramEnd"/>
    </w:p>
    <w:p w14:paraId="196A424B" w14:textId="591A9C93" w:rsidR="003F5C12" w:rsidRPr="003F5C12" w:rsidRDefault="003F5C12" w:rsidP="003F5C12">
      <w:pPr>
        <w:pStyle w:val="ListParagraph"/>
        <w:numPr>
          <w:ilvl w:val="1"/>
          <w:numId w:val="4"/>
        </w:numPr>
        <w:rPr>
          <w:rStyle w:val="A1"/>
          <w:rFonts w:cs="Calibri"/>
          <w:b w:val="0"/>
          <w:bCs w:val="0"/>
          <w:color w:val="auto"/>
        </w:rPr>
      </w:pPr>
      <w:r>
        <w:rPr>
          <w:rStyle w:val="A1"/>
          <w:b w:val="0"/>
          <w:bCs w:val="0"/>
        </w:rPr>
        <w:t xml:space="preserve">Be limited to investments that would not otherwise be funded, or not funded </w:t>
      </w:r>
      <w:r w:rsidR="009119BF">
        <w:rPr>
          <w:rStyle w:val="A1"/>
          <w:b w:val="0"/>
          <w:bCs w:val="0"/>
        </w:rPr>
        <w:t>f</w:t>
      </w:r>
      <w:r>
        <w:rPr>
          <w:rStyle w:val="A1"/>
          <w:b w:val="0"/>
          <w:bCs w:val="0"/>
        </w:rPr>
        <w:t xml:space="preserve">ast enough to meet demand for </w:t>
      </w:r>
      <w:proofErr w:type="gramStart"/>
      <w:r>
        <w:rPr>
          <w:rStyle w:val="A1"/>
          <w:b w:val="0"/>
          <w:bCs w:val="0"/>
        </w:rPr>
        <w:t>housing;</w:t>
      </w:r>
      <w:proofErr w:type="gramEnd"/>
    </w:p>
    <w:p w14:paraId="3792D7C0" w14:textId="2D3423E2" w:rsidR="003F5C12" w:rsidRPr="006364B8" w:rsidRDefault="006364B8" w:rsidP="003F5C12">
      <w:pPr>
        <w:pStyle w:val="ListParagraph"/>
        <w:numPr>
          <w:ilvl w:val="1"/>
          <w:numId w:val="4"/>
        </w:numPr>
        <w:rPr>
          <w:rStyle w:val="A1"/>
          <w:rFonts w:cs="Calibri"/>
          <w:b w:val="0"/>
          <w:bCs w:val="0"/>
          <w:color w:val="auto"/>
        </w:rPr>
      </w:pPr>
      <w:r>
        <w:rPr>
          <w:rStyle w:val="A1"/>
          <w:b w:val="0"/>
          <w:bCs w:val="0"/>
        </w:rPr>
        <w:t xml:space="preserve">Maximise value for money including through co-funding, contributions, and commitments from local government and third </w:t>
      </w:r>
      <w:proofErr w:type="gramStart"/>
      <w:r>
        <w:rPr>
          <w:rStyle w:val="A1"/>
          <w:b w:val="0"/>
          <w:bCs w:val="0"/>
        </w:rPr>
        <w:t>parties;</w:t>
      </w:r>
      <w:proofErr w:type="gramEnd"/>
    </w:p>
    <w:p w14:paraId="44515983" w14:textId="1FD1FE92" w:rsidR="006364B8" w:rsidRPr="006364B8" w:rsidRDefault="006364B8" w:rsidP="003F5C12">
      <w:pPr>
        <w:pStyle w:val="ListParagraph"/>
        <w:numPr>
          <w:ilvl w:val="1"/>
          <w:numId w:val="4"/>
        </w:numPr>
        <w:rPr>
          <w:rStyle w:val="A1"/>
          <w:rFonts w:cs="Calibri"/>
          <w:b w:val="0"/>
          <w:bCs w:val="0"/>
          <w:color w:val="auto"/>
        </w:rPr>
      </w:pPr>
      <w:r>
        <w:rPr>
          <w:rStyle w:val="A1"/>
          <w:b w:val="0"/>
          <w:bCs w:val="0"/>
        </w:rPr>
        <w:t xml:space="preserve">Enable the building of homes that are affordable for low-to-moderate income </w:t>
      </w:r>
      <w:proofErr w:type="gramStart"/>
      <w:r>
        <w:rPr>
          <w:rStyle w:val="A1"/>
          <w:b w:val="0"/>
          <w:bCs w:val="0"/>
        </w:rPr>
        <w:t>households;</w:t>
      </w:r>
      <w:proofErr w:type="gramEnd"/>
    </w:p>
    <w:p w14:paraId="561FF94F" w14:textId="771C2208" w:rsidR="006364B8" w:rsidRPr="006364B8" w:rsidRDefault="006364B8" w:rsidP="003F5C12">
      <w:pPr>
        <w:pStyle w:val="ListParagraph"/>
        <w:numPr>
          <w:ilvl w:val="1"/>
          <w:numId w:val="4"/>
        </w:numPr>
        <w:rPr>
          <w:rStyle w:val="A1"/>
          <w:rFonts w:cs="Calibri"/>
          <w:b w:val="0"/>
          <w:bCs w:val="0"/>
          <w:color w:val="auto"/>
        </w:rPr>
      </w:pPr>
      <w:r>
        <w:rPr>
          <w:rStyle w:val="A1"/>
          <w:b w:val="0"/>
          <w:bCs w:val="0"/>
        </w:rPr>
        <w:t xml:space="preserve">Incentivise councils to use non-funding levers that enable housing </w:t>
      </w:r>
      <w:proofErr w:type="gramStart"/>
      <w:r>
        <w:rPr>
          <w:rStyle w:val="A1"/>
          <w:b w:val="0"/>
          <w:bCs w:val="0"/>
        </w:rPr>
        <w:t>development;</w:t>
      </w:r>
      <w:proofErr w:type="gramEnd"/>
    </w:p>
    <w:p w14:paraId="0D527163" w14:textId="7FB2E374" w:rsidR="006364B8" w:rsidRPr="006364B8" w:rsidRDefault="006364B8" w:rsidP="003F5C12">
      <w:pPr>
        <w:pStyle w:val="ListParagraph"/>
        <w:numPr>
          <w:ilvl w:val="1"/>
          <w:numId w:val="4"/>
        </w:numPr>
        <w:rPr>
          <w:rStyle w:val="A1"/>
          <w:rFonts w:cs="Calibri"/>
          <w:b w:val="0"/>
          <w:bCs w:val="0"/>
          <w:color w:val="auto"/>
        </w:rPr>
      </w:pPr>
      <w:r>
        <w:rPr>
          <w:rStyle w:val="A1"/>
          <w:b w:val="0"/>
          <w:bCs w:val="0"/>
        </w:rPr>
        <w:t xml:space="preserve">Create a pipeline of investment including near-term and medium-term activity that ramps up sustainably to allow the construction sector to steadily increase its capacity and absorb the investment without price </w:t>
      </w:r>
      <w:proofErr w:type="gramStart"/>
      <w:r>
        <w:rPr>
          <w:rStyle w:val="A1"/>
          <w:b w:val="0"/>
          <w:bCs w:val="0"/>
        </w:rPr>
        <w:t>escalation;</w:t>
      </w:r>
      <w:proofErr w:type="gramEnd"/>
    </w:p>
    <w:p w14:paraId="0CCCDA52" w14:textId="71BB3DA5" w:rsidR="006364B8" w:rsidRPr="006364B8" w:rsidRDefault="006364B8" w:rsidP="003F5C12">
      <w:pPr>
        <w:pStyle w:val="ListParagraph"/>
        <w:numPr>
          <w:ilvl w:val="1"/>
          <w:numId w:val="4"/>
        </w:numPr>
        <w:rPr>
          <w:rStyle w:val="A1"/>
          <w:rFonts w:cs="Calibri"/>
          <w:b w:val="0"/>
          <w:bCs w:val="0"/>
          <w:color w:val="auto"/>
        </w:rPr>
      </w:pPr>
      <w:r>
        <w:rPr>
          <w:rStyle w:val="A1"/>
          <w:b w:val="0"/>
          <w:bCs w:val="0"/>
        </w:rPr>
        <w:t xml:space="preserve">Align with wider government objectives, such as ensuring good urban form, partnerships with iwi and Maori, and the transition to a net-zero emissions </w:t>
      </w:r>
      <w:proofErr w:type="gramStart"/>
      <w:r>
        <w:rPr>
          <w:rStyle w:val="A1"/>
          <w:b w:val="0"/>
          <w:bCs w:val="0"/>
        </w:rPr>
        <w:t>economy;</w:t>
      </w:r>
      <w:proofErr w:type="gramEnd"/>
      <w:r>
        <w:rPr>
          <w:rStyle w:val="A1"/>
          <w:b w:val="0"/>
          <w:bCs w:val="0"/>
        </w:rPr>
        <w:t xml:space="preserve"> and </w:t>
      </w:r>
    </w:p>
    <w:p w14:paraId="0989B5F4" w14:textId="3738CE8A" w:rsidR="006364B8" w:rsidRDefault="006364B8" w:rsidP="003F5C12">
      <w:pPr>
        <w:pStyle w:val="ListParagraph"/>
        <w:numPr>
          <w:ilvl w:val="1"/>
          <w:numId w:val="4"/>
        </w:numPr>
        <w:rPr>
          <w:rStyle w:val="A1"/>
          <w:rFonts w:cs="Calibri"/>
          <w:b w:val="0"/>
          <w:bCs w:val="0"/>
          <w:color w:val="auto"/>
        </w:rPr>
      </w:pPr>
      <w:r>
        <w:rPr>
          <w:rStyle w:val="A1"/>
          <w:rFonts w:cs="Calibri"/>
          <w:b w:val="0"/>
          <w:bCs w:val="0"/>
          <w:color w:val="auto"/>
        </w:rPr>
        <w:t xml:space="preserve">Be spread across multiple regions and include both large urban areas and regional centres. </w:t>
      </w:r>
    </w:p>
    <w:p w14:paraId="545219DE" w14:textId="2924A676" w:rsidR="001A7311" w:rsidRPr="001A7311" w:rsidRDefault="001A7311" w:rsidP="00F517E5">
      <w:pPr>
        <w:pStyle w:val="Heading3"/>
        <w:rPr>
          <w:rStyle w:val="A1"/>
          <w:rFonts w:cstheme="majorBidi"/>
          <w:b w:val="0"/>
          <w:bCs w:val="0"/>
          <w:color w:val="2F5496" w:themeColor="accent1" w:themeShade="BF"/>
          <w:sz w:val="26"/>
          <w:szCs w:val="26"/>
        </w:rPr>
      </w:pPr>
      <w:r w:rsidRPr="001A7311">
        <w:rPr>
          <w:rStyle w:val="A1"/>
          <w:rFonts w:cstheme="majorBidi"/>
          <w:b w:val="0"/>
          <w:bCs w:val="0"/>
          <w:color w:val="2F5496" w:themeColor="accent1" w:themeShade="BF"/>
          <w:sz w:val="26"/>
          <w:szCs w:val="26"/>
        </w:rPr>
        <w:lastRenderedPageBreak/>
        <w:t>A Competitive Fund</w:t>
      </w:r>
    </w:p>
    <w:p w14:paraId="195857AE" w14:textId="479F8137" w:rsidR="006364B8" w:rsidRDefault="006364B8" w:rsidP="006364B8">
      <w:pPr>
        <w:pStyle w:val="ListParagraph"/>
        <w:numPr>
          <w:ilvl w:val="0"/>
          <w:numId w:val="4"/>
        </w:numPr>
        <w:rPr>
          <w:rStyle w:val="A1"/>
          <w:rFonts w:cs="Calibri"/>
          <w:b w:val="0"/>
          <w:bCs w:val="0"/>
          <w:color w:val="auto"/>
        </w:rPr>
      </w:pPr>
      <w:r>
        <w:rPr>
          <w:rStyle w:val="A1"/>
          <w:rFonts w:cs="Calibri"/>
          <w:b w:val="0"/>
          <w:bCs w:val="0"/>
          <w:color w:val="auto"/>
        </w:rPr>
        <w:t>The Infrastructure Acceleration Fund was set up to be a competitive fund that may include multiple funding rounds.</w:t>
      </w:r>
    </w:p>
    <w:p w14:paraId="6E64092D" w14:textId="10DA99F1" w:rsidR="006364B8" w:rsidRDefault="006364B8" w:rsidP="006364B8">
      <w:pPr>
        <w:pStyle w:val="ListParagraph"/>
        <w:numPr>
          <w:ilvl w:val="0"/>
          <w:numId w:val="4"/>
        </w:numPr>
        <w:rPr>
          <w:rStyle w:val="A1"/>
          <w:rFonts w:cs="Calibri"/>
          <w:b w:val="0"/>
          <w:bCs w:val="0"/>
          <w:color w:val="auto"/>
        </w:rPr>
      </w:pPr>
      <w:r>
        <w:rPr>
          <w:rStyle w:val="A1"/>
          <w:rFonts w:cs="Calibri"/>
          <w:b w:val="0"/>
          <w:bCs w:val="0"/>
          <w:color w:val="auto"/>
        </w:rPr>
        <w:t>The IAF is limited to:</w:t>
      </w:r>
    </w:p>
    <w:p w14:paraId="212229EE" w14:textId="77777777" w:rsidR="006F3D88" w:rsidRDefault="006364B8" w:rsidP="006364B8">
      <w:pPr>
        <w:pStyle w:val="ListParagraph"/>
        <w:numPr>
          <w:ilvl w:val="1"/>
          <w:numId w:val="4"/>
        </w:numPr>
        <w:rPr>
          <w:rStyle w:val="A1"/>
          <w:rFonts w:cs="Calibri"/>
          <w:b w:val="0"/>
          <w:bCs w:val="0"/>
          <w:color w:val="auto"/>
        </w:rPr>
      </w:pPr>
      <w:r>
        <w:rPr>
          <w:rStyle w:val="A1"/>
          <w:rFonts w:cs="Calibri"/>
          <w:b w:val="0"/>
          <w:bCs w:val="0"/>
          <w:color w:val="auto"/>
        </w:rPr>
        <w:t xml:space="preserve">New or upgraded enabling infrastructure </w:t>
      </w:r>
      <w:r w:rsidR="006F3D88">
        <w:rPr>
          <w:rStyle w:val="A1"/>
          <w:rFonts w:cs="Calibri"/>
          <w:b w:val="0"/>
          <w:bCs w:val="0"/>
          <w:color w:val="auto"/>
        </w:rPr>
        <w:t>for:</w:t>
      </w:r>
    </w:p>
    <w:p w14:paraId="622B914D" w14:textId="77777777" w:rsidR="006F3D88" w:rsidRDefault="006364B8" w:rsidP="006F3D88">
      <w:pPr>
        <w:pStyle w:val="ListParagraph"/>
        <w:numPr>
          <w:ilvl w:val="2"/>
          <w:numId w:val="4"/>
        </w:numPr>
        <w:rPr>
          <w:rStyle w:val="A1"/>
          <w:rFonts w:cs="Calibri"/>
          <w:b w:val="0"/>
          <w:bCs w:val="0"/>
          <w:color w:val="auto"/>
        </w:rPr>
      </w:pPr>
      <w:r>
        <w:rPr>
          <w:rStyle w:val="A1"/>
          <w:rFonts w:cs="Calibri"/>
          <w:b w:val="0"/>
          <w:bCs w:val="0"/>
          <w:color w:val="auto"/>
        </w:rPr>
        <w:t xml:space="preserve">transport (including local roading, state highways, public transport infrastructure, </w:t>
      </w:r>
      <w:proofErr w:type="gramStart"/>
      <w:r>
        <w:rPr>
          <w:rStyle w:val="A1"/>
          <w:rFonts w:cs="Calibri"/>
          <w:b w:val="0"/>
          <w:bCs w:val="0"/>
          <w:color w:val="auto"/>
        </w:rPr>
        <w:t>footpaths</w:t>
      </w:r>
      <w:proofErr w:type="gramEnd"/>
      <w:r>
        <w:rPr>
          <w:rStyle w:val="A1"/>
          <w:rFonts w:cs="Calibri"/>
          <w:b w:val="0"/>
          <w:bCs w:val="0"/>
          <w:color w:val="auto"/>
        </w:rPr>
        <w:t xml:space="preserve"> and cycleways), </w:t>
      </w:r>
    </w:p>
    <w:p w14:paraId="035CDACD" w14:textId="77777777" w:rsidR="006F3D88" w:rsidRDefault="006364B8" w:rsidP="006F3D88">
      <w:pPr>
        <w:pStyle w:val="ListParagraph"/>
        <w:numPr>
          <w:ilvl w:val="2"/>
          <w:numId w:val="4"/>
        </w:numPr>
        <w:rPr>
          <w:rStyle w:val="A1"/>
          <w:rFonts w:cs="Calibri"/>
          <w:b w:val="0"/>
          <w:bCs w:val="0"/>
          <w:color w:val="auto"/>
        </w:rPr>
      </w:pPr>
      <w:r>
        <w:rPr>
          <w:rStyle w:val="A1"/>
          <w:rFonts w:cs="Calibri"/>
          <w:b w:val="0"/>
          <w:bCs w:val="0"/>
          <w:color w:val="auto"/>
        </w:rPr>
        <w:t xml:space="preserve">three waters, and </w:t>
      </w:r>
    </w:p>
    <w:p w14:paraId="53C9EA3E" w14:textId="3C722E09" w:rsidR="006364B8" w:rsidRDefault="006364B8" w:rsidP="006F3D88">
      <w:pPr>
        <w:pStyle w:val="ListParagraph"/>
        <w:numPr>
          <w:ilvl w:val="2"/>
          <w:numId w:val="4"/>
        </w:numPr>
        <w:rPr>
          <w:rStyle w:val="A1"/>
          <w:rFonts w:cs="Calibri"/>
          <w:b w:val="0"/>
          <w:bCs w:val="0"/>
          <w:color w:val="auto"/>
        </w:rPr>
      </w:pPr>
      <w:r>
        <w:rPr>
          <w:rStyle w:val="A1"/>
          <w:rFonts w:cs="Calibri"/>
          <w:b w:val="0"/>
          <w:bCs w:val="0"/>
          <w:color w:val="auto"/>
        </w:rPr>
        <w:t xml:space="preserve">flood management infrastructure which are wholly or primarily for the purpose of enabling the building of new or additional dwellings in the short to medium term. </w:t>
      </w:r>
    </w:p>
    <w:p w14:paraId="1493F2B9" w14:textId="394C7A81" w:rsidR="006364B8" w:rsidRDefault="009119BF" w:rsidP="00031101">
      <w:pPr>
        <w:pStyle w:val="ListParagraph"/>
        <w:numPr>
          <w:ilvl w:val="0"/>
          <w:numId w:val="4"/>
        </w:numPr>
        <w:rPr>
          <w:rStyle w:val="A1"/>
          <w:rFonts w:cs="Calibri"/>
          <w:b w:val="0"/>
          <w:bCs w:val="0"/>
          <w:color w:val="auto"/>
        </w:rPr>
      </w:pPr>
      <w:r>
        <w:rPr>
          <w:rStyle w:val="A1"/>
          <w:rFonts w:cs="Calibri"/>
          <w:b w:val="0"/>
          <w:bCs w:val="0"/>
          <w:color w:val="auto"/>
        </w:rPr>
        <w:t>E</w:t>
      </w:r>
      <w:r w:rsidR="00031101">
        <w:rPr>
          <w:rStyle w:val="A1"/>
          <w:rFonts w:cs="Calibri"/>
          <w:b w:val="0"/>
          <w:bCs w:val="0"/>
          <w:color w:val="auto"/>
        </w:rPr>
        <w:t>ligible costs can include:</w:t>
      </w:r>
    </w:p>
    <w:p w14:paraId="3EDC2783" w14:textId="23C736BE" w:rsidR="00031101" w:rsidRDefault="00031101" w:rsidP="00031101">
      <w:pPr>
        <w:pStyle w:val="ListParagraph"/>
        <w:numPr>
          <w:ilvl w:val="1"/>
          <w:numId w:val="4"/>
        </w:numPr>
        <w:rPr>
          <w:rStyle w:val="A1"/>
          <w:rFonts w:cs="Calibri"/>
          <w:b w:val="0"/>
          <w:bCs w:val="0"/>
          <w:color w:val="auto"/>
        </w:rPr>
      </w:pPr>
      <w:r>
        <w:rPr>
          <w:rStyle w:val="A1"/>
          <w:rFonts w:cs="Calibri"/>
          <w:b w:val="0"/>
          <w:bCs w:val="0"/>
          <w:color w:val="auto"/>
        </w:rPr>
        <w:t xml:space="preserve">Costs of feasibility studies and other </w:t>
      </w:r>
      <w:proofErr w:type="gramStart"/>
      <w:r>
        <w:rPr>
          <w:rStyle w:val="A1"/>
          <w:rFonts w:cs="Calibri"/>
          <w:b w:val="0"/>
          <w:bCs w:val="0"/>
          <w:color w:val="auto"/>
        </w:rPr>
        <w:t>early stage</w:t>
      </w:r>
      <w:proofErr w:type="gramEnd"/>
      <w:r>
        <w:rPr>
          <w:rStyle w:val="A1"/>
          <w:rFonts w:cs="Calibri"/>
          <w:b w:val="0"/>
          <w:bCs w:val="0"/>
          <w:color w:val="auto"/>
        </w:rPr>
        <w:t xml:space="preserve"> development work;</w:t>
      </w:r>
    </w:p>
    <w:p w14:paraId="2C8BCD93" w14:textId="7EACE193" w:rsidR="00031101" w:rsidRDefault="00031101" w:rsidP="00031101">
      <w:pPr>
        <w:pStyle w:val="ListParagraph"/>
        <w:numPr>
          <w:ilvl w:val="1"/>
          <w:numId w:val="4"/>
        </w:numPr>
        <w:rPr>
          <w:rStyle w:val="A1"/>
          <w:rFonts w:cs="Calibri"/>
          <w:b w:val="0"/>
          <w:bCs w:val="0"/>
          <w:color w:val="auto"/>
        </w:rPr>
      </w:pPr>
      <w:r>
        <w:rPr>
          <w:rStyle w:val="A1"/>
          <w:rFonts w:cs="Calibri"/>
          <w:b w:val="0"/>
          <w:bCs w:val="0"/>
          <w:color w:val="auto"/>
        </w:rPr>
        <w:t xml:space="preserve">Costs of designing, consenting, tendering and acquiring land (where it is wholly required for eligible infrastructure projects and </w:t>
      </w:r>
      <w:r w:rsidR="00036C14">
        <w:rPr>
          <w:rStyle w:val="A1"/>
          <w:rFonts w:cs="Calibri"/>
          <w:b w:val="0"/>
          <w:bCs w:val="0"/>
          <w:color w:val="auto"/>
        </w:rPr>
        <w:t>broader</w:t>
      </w:r>
      <w:r>
        <w:rPr>
          <w:rStyle w:val="A1"/>
          <w:rFonts w:cs="Calibri"/>
          <w:b w:val="0"/>
          <w:bCs w:val="0"/>
          <w:color w:val="auto"/>
        </w:rPr>
        <w:t xml:space="preserve"> large scale project activities</w:t>
      </w:r>
      <w:proofErr w:type="gramStart"/>
      <w:r>
        <w:rPr>
          <w:rStyle w:val="A1"/>
          <w:rFonts w:cs="Calibri"/>
          <w:b w:val="0"/>
          <w:bCs w:val="0"/>
          <w:color w:val="auto"/>
        </w:rPr>
        <w:t>);</w:t>
      </w:r>
      <w:proofErr w:type="gramEnd"/>
      <w:r>
        <w:rPr>
          <w:rStyle w:val="A1"/>
          <w:rFonts w:cs="Calibri"/>
          <w:b w:val="0"/>
          <w:bCs w:val="0"/>
          <w:color w:val="auto"/>
        </w:rPr>
        <w:t xml:space="preserve"> </w:t>
      </w:r>
    </w:p>
    <w:p w14:paraId="0235AE78" w14:textId="54DA0C89" w:rsidR="00031101" w:rsidRDefault="00036C14" w:rsidP="00031101">
      <w:pPr>
        <w:pStyle w:val="ListParagraph"/>
        <w:numPr>
          <w:ilvl w:val="1"/>
          <w:numId w:val="4"/>
        </w:numPr>
        <w:rPr>
          <w:rStyle w:val="A1"/>
          <w:rFonts w:cs="Calibri"/>
          <w:b w:val="0"/>
          <w:bCs w:val="0"/>
          <w:color w:val="auto"/>
        </w:rPr>
      </w:pPr>
      <w:r>
        <w:rPr>
          <w:rStyle w:val="A1"/>
          <w:rFonts w:cs="Calibri"/>
          <w:b w:val="0"/>
          <w:bCs w:val="0"/>
          <w:color w:val="auto"/>
        </w:rPr>
        <w:t>Constructing eligible infrastructure projects; and</w:t>
      </w:r>
    </w:p>
    <w:p w14:paraId="23989703" w14:textId="3A90B4F1" w:rsidR="00036C14" w:rsidRDefault="00036C14" w:rsidP="00031101">
      <w:pPr>
        <w:pStyle w:val="ListParagraph"/>
        <w:numPr>
          <w:ilvl w:val="1"/>
          <w:numId w:val="4"/>
        </w:numPr>
        <w:rPr>
          <w:rStyle w:val="A1"/>
          <w:rFonts w:cs="Calibri"/>
          <w:b w:val="0"/>
          <w:bCs w:val="0"/>
          <w:color w:val="auto"/>
        </w:rPr>
      </w:pPr>
      <w:r>
        <w:rPr>
          <w:rStyle w:val="A1"/>
          <w:rFonts w:cs="Calibri"/>
          <w:b w:val="0"/>
          <w:bCs w:val="0"/>
          <w:color w:val="auto"/>
        </w:rPr>
        <w:t xml:space="preserve">In limited situations, non-capital administrative costs where these are necessary to establishing complementary financing. </w:t>
      </w:r>
    </w:p>
    <w:p w14:paraId="5C7A461C" w14:textId="2A214867" w:rsidR="006E7383" w:rsidRDefault="006E7383" w:rsidP="006E7383">
      <w:pPr>
        <w:pStyle w:val="ListParagraph"/>
        <w:numPr>
          <w:ilvl w:val="0"/>
          <w:numId w:val="4"/>
        </w:numPr>
        <w:rPr>
          <w:rStyle w:val="A1"/>
          <w:rFonts w:cs="Calibri"/>
          <w:b w:val="0"/>
          <w:bCs w:val="0"/>
          <w:color w:val="auto"/>
        </w:rPr>
      </w:pPr>
      <w:r>
        <w:rPr>
          <w:rStyle w:val="A1"/>
          <w:rFonts w:cs="Calibri"/>
          <w:b w:val="0"/>
          <w:bCs w:val="0"/>
          <w:color w:val="auto"/>
        </w:rPr>
        <w:t xml:space="preserve">Applicants on proposals may be territorial authorities, </w:t>
      </w:r>
      <w:proofErr w:type="gramStart"/>
      <w:r>
        <w:rPr>
          <w:rStyle w:val="A1"/>
          <w:rFonts w:cs="Calibri"/>
          <w:b w:val="0"/>
          <w:bCs w:val="0"/>
          <w:color w:val="auto"/>
        </w:rPr>
        <w:t>developers</w:t>
      </w:r>
      <w:proofErr w:type="gramEnd"/>
      <w:r>
        <w:rPr>
          <w:rStyle w:val="A1"/>
          <w:rFonts w:cs="Calibri"/>
          <w:b w:val="0"/>
          <w:bCs w:val="0"/>
          <w:color w:val="auto"/>
        </w:rPr>
        <w:t xml:space="preserve"> or iwi, with developers encouraged to work through TAs where possible. </w:t>
      </w:r>
    </w:p>
    <w:p w14:paraId="08D04C26" w14:textId="7B9C2DC1" w:rsidR="008411A2" w:rsidRDefault="008411A2" w:rsidP="006E7383">
      <w:pPr>
        <w:pStyle w:val="ListParagraph"/>
        <w:numPr>
          <w:ilvl w:val="0"/>
          <w:numId w:val="4"/>
        </w:numPr>
        <w:rPr>
          <w:rStyle w:val="A1"/>
          <w:rFonts w:cs="Calibri"/>
          <w:b w:val="0"/>
          <w:bCs w:val="0"/>
          <w:color w:val="auto"/>
        </w:rPr>
      </w:pPr>
      <w:r>
        <w:rPr>
          <w:rStyle w:val="A1"/>
          <w:rFonts w:cs="Calibri"/>
          <w:b w:val="0"/>
          <w:bCs w:val="0"/>
          <w:color w:val="auto"/>
        </w:rPr>
        <w:t xml:space="preserve">Government has outlined the principles of co-funding for developers and relevant </w:t>
      </w:r>
      <w:proofErr w:type="gramStart"/>
      <w:r w:rsidR="00E361C4">
        <w:rPr>
          <w:rStyle w:val="A1"/>
          <w:rFonts w:cs="Calibri"/>
          <w:b w:val="0"/>
          <w:bCs w:val="0"/>
          <w:color w:val="auto"/>
        </w:rPr>
        <w:t>landowner’s</w:t>
      </w:r>
      <w:proofErr w:type="gramEnd"/>
      <w:r>
        <w:rPr>
          <w:rStyle w:val="A1"/>
          <w:rFonts w:cs="Calibri"/>
          <w:b w:val="0"/>
          <w:bCs w:val="0"/>
          <w:color w:val="auto"/>
        </w:rPr>
        <w:t xml:space="preserve"> to meet to the greatest extent possible:</w:t>
      </w:r>
    </w:p>
    <w:p w14:paraId="29812FB8" w14:textId="34269DF2" w:rsidR="008411A2" w:rsidRDefault="00E361C4" w:rsidP="008411A2">
      <w:pPr>
        <w:pStyle w:val="ListParagraph"/>
        <w:numPr>
          <w:ilvl w:val="1"/>
          <w:numId w:val="4"/>
        </w:numPr>
        <w:rPr>
          <w:rStyle w:val="A1"/>
          <w:rFonts w:cs="Calibri"/>
          <w:b w:val="0"/>
          <w:bCs w:val="0"/>
          <w:color w:val="auto"/>
        </w:rPr>
      </w:pPr>
      <w:r>
        <w:rPr>
          <w:rStyle w:val="A1"/>
          <w:rFonts w:cs="Calibri"/>
          <w:b w:val="0"/>
          <w:bCs w:val="0"/>
          <w:color w:val="auto"/>
        </w:rPr>
        <w:t xml:space="preserve">Developers and landowners should be paying a similar share of the costs of the infrastructure as would be the case if the infrastructure project </w:t>
      </w:r>
      <w:proofErr w:type="gramStart"/>
      <w:r>
        <w:rPr>
          <w:rStyle w:val="A1"/>
          <w:rFonts w:cs="Calibri"/>
          <w:b w:val="0"/>
          <w:bCs w:val="0"/>
          <w:color w:val="auto"/>
        </w:rPr>
        <w:t>was</w:t>
      </w:r>
      <w:proofErr w:type="gramEnd"/>
      <w:r>
        <w:rPr>
          <w:rStyle w:val="A1"/>
          <w:rFonts w:cs="Calibri"/>
          <w:b w:val="0"/>
          <w:bCs w:val="0"/>
          <w:color w:val="auto"/>
        </w:rPr>
        <w:t xml:space="preserve"> funded by traditional means through the local authority, which is generally the reasonable growth portion of the total infrastructure cost</w:t>
      </w:r>
      <w:r w:rsidR="009119BF">
        <w:rPr>
          <w:rStyle w:val="A1"/>
          <w:rFonts w:cs="Calibri"/>
          <w:b w:val="0"/>
          <w:bCs w:val="0"/>
          <w:color w:val="auto"/>
        </w:rPr>
        <w:t>.</w:t>
      </w:r>
    </w:p>
    <w:p w14:paraId="76C985A8" w14:textId="1C42A18C" w:rsidR="00E361C4" w:rsidRDefault="00E361C4" w:rsidP="008411A2">
      <w:pPr>
        <w:pStyle w:val="ListParagraph"/>
        <w:numPr>
          <w:ilvl w:val="1"/>
          <w:numId w:val="4"/>
        </w:numPr>
        <w:rPr>
          <w:rStyle w:val="A1"/>
          <w:rFonts w:cs="Calibri"/>
          <w:b w:val="0"/>
          <w:bCs w:val="0"/>
          <w:color w:val="auto"/>
        </w:rPr>
      </w:pPr>
      <w:r>
        <w:rPr>
          <w:rStyle w:val="A1"/>
          <w:rFonts w:cs="Calibri"/>
          <w:b w:val="0"/>
          <w:bCs w:val="0"/>
          <w:color w:val="auto"/>
        </w:rPr>
        <w:t xml:space="preserve">In some </w:t>
      </w:r>
      <w:proofErr w:type="gramStart"/>
      <w:r>
        <w:rPr>
          <w:rStyle w:val="A1"/>
          <w:rFonts w:cs="Calibri"/>
          <w:b w:val="0"/>
          <w:bCs w:val="0"/>
          <w:color w:val="auto"/>
        </w:rPr>
        <w:t>cases</w:t>
      </w:r>
      <w:proofErr w:type="gramEnd"/>
      <w:r>
        <w:rPr>
          <w:rStyle w:val="A1"/>
          <w:rFonts w:cs="Calibri"/>
          <w:b w:val="0"/>
          <w:bCs w:val="0"/>
          <w:color w:val="auto"/>
        </w:rPr>
        <w:t xml:space="preserve"> this contribution can be non-financial (i.e. land or commitments to sub-market housing), but any such contribution should be similar in value to the foregone financial contribution. </w:t>
      </w:r>
    </w:p>
    <w:p w14:paraId="55CCEC64" w14:textId="2171BC4C" w:rsidR="006F3D88" w:rsidRDefault="006F3D88" w:rsidP="00052F62">
      <w:pPr>
        <w:pStyle w:val="Heading2"/>
      </w:pPr>
      <w:r>
        <w:t xml:space="preserve">The IAF </w:t>
      </w:r>
      <w:r w:rsidR="001A7311">
        <w:t>Process</w:t>
      </w:r>
    </w:p>
    <w:p w14:paraId="7D045C04" w14:textId="7D62B212" w:rsidR="001A7311" w:rsidRPr="00052F62" w:rsidRDefault="001A7311" w:rsidP="00052F62">
      <w:pPr>
        <w:pStyle w:val="NoSpacing"/>
        <w:numPr>
          <w:ilvl w:val="0"/>
          <w:numId w:val="10"/>
        </w:numPr>
      </w:pPr>
      <w:r w:rsidRPr="00052F62">
        <w:t>The IAF will be a two-stage contestable process. Eligible applicants will first submit expressions of interest, with a smaller number invited to submit full proposals. All proposals will be assessed against a common set of investment criteria.   </w:t>
      </w:r>
    </w:p>
    <w:p w14:paraId="31958BA6" w14:textId="1E33EE3B" w:rsidR="006F3D88" w:rsidRPr="00052F62" w:rsidRDefault="006F3D88" w:rsidP="00052F62">
      <w:pPr>
        <w:pStyle w:val="NoSpacing"/>
        <w:numPr>
          <w:ilvl w:val="0"/>
          <w:numId w:val="11"/>
        </w:numPr>
      </w:pPr>
      <w:r w:rsidRPr="009119BF">
        <w:rPr>
          <w:rStyle w:val="A5"/>
          <w:rFonts w:cstheme="minorBidi"/>
          <w:b/>
          <w:bCs/>
          <w:color w:val="auto"/>
          <w:sz w:val="22"/>
          <w:szCs w:val="22"/>
        </w:rPr>
        <w:t>Stage 1</w:t>
      </w:r>
      <w:r w:rsidRPr="00052F62">
        <w:rPr>
          <w:rStyle w:val="A5"/>
          <w:rFonts w:cstheme="minorBidi"/>
          <w:color w:val="auto"/>
          <w:sz w:val="22"/>
          <w:szCs w:val="22"/>
        </w:rPr>
        <w:t xml:space="preserve"> - all applicants are invited to provide an expression of interest (EOI) with high level informa</w:t>
      </w:r>
      <w:r w:rsidRPr="00052F62">
        <w:rPr>
          <w:rStyle w:val="A5"/>
          <w:rFonts w:cstheme="minorBidi"/>
          <w:color w:val="auto"/>
          <w:sz w:val="22"/>
          <w:szCs w:val="22"/>
        </w:rPr>
        <w:softHyphen/>
        <w:t xml:space="preserve">tion on the housing development and infrastructure projects. </w:t>
      </w:r>
    </w:p>
    <w:p w14:paraId="732D7E31" w14:textId="2CD7DDCA" w:rsidR="00052F62" w:rsidRPr="00052F62" w:rsidRDefault="006F3D88" w:rsidP="00052F62">
      <w:pPr>
        <w:pStyle w:val="NoSpacing"/>
        <w:numPr>
          <w:ilvl w:val="0"/>
          <w:numId w:val="11"/>
        </w:numPr>
      </w:pPr>
      <w:r w:rsidRPr="009119BF">
        <w:rPr>
          <w:b/>
          <w:bCs/>
        </w:rPr>
        <w:t>Stage 2</w:t>
      </w:r>
      <w:r w:rsidR="00252150" w:rsidRPr="00052F62">
        <w:t>- following</w:t>
      </w:r>
      <w:r w:rsidRPr="00052F62">
        <w:t xml:space="preserve"> an assessment of the proposal submitted at the EOI stage against the investment criteria a reduced number of applicants will be invited to submit a full proposal.</w:t>
      </w:r>
    </w:p>
    <w:p w14:paraId="61918C6F" w14:textId="77777777" w:rsidR="009119BF" w:rsidRPr="009119BF" w:rsidRDefault="009119BF" w:rsidP="00052F62">
      <w:pPr>
        <w:pStyle w:val="ListParagraph"/>
        <w:numPr>
          <w:ilvl w:val="0"/>
          <w:numId w:val="12"/>
        </w:numPr>
        <w:ind w:left="709"/>
        <w:rPr>
          <w:rFonts w:cstheme="minorBidi"/>
        </w:rPr>
      </w:pPr>
      <w:r>
        <w:t>The process has two paths to apply through these include:</w:t>
      </w:r>
    </w:p>
    <w:p w14:paraId="6A6EA90B" w14:textId="1F913389" w:rsidR="009119BF" w:rsidRPr="009119BF" w:rsidRDefault="009119BF" w:rsidP="009119BF">
      <w:pPr>
        <w:pStyle w:val="ListParagraph"/>
        <w:numPr>
          <w:ilvl w:val="1"/>
          <w:numId w:val="12"/>
        </w:numPr>
        <w:rPr>
          <w:rFonts w:cstheme="minorBidi"/>
        </w:rPr>
      </w:pPr>
      <w:r>
        <w:t>Programme path - for main urban areas where infrastructure investment is more complex.</w:t>
      </w:r>
    </w:p>
    <w:p w14:paraId="2072D6DA" w14:textId="3D911C0C" w:rsidR="009119BF" w:rsidRDefault="009119BF" w:rsidP="009119BF">
      <w:pPr>
        <w:pStyle w:val="ListParagraph"/>
        <w:numPr>
          <w:ilvl w:val="1"/>
          <w:numId w:val="12"/>
        </w:numPr>
        <w:rPr>
          <w:rStyle w:val="A1"/>
          <w:rFonts w:cstheme="minorBidi"/>
          <w:b w:val="0"/>
          <w:bCs w:val="0"/>
          <w:color w:val="auto"/>
        </w:rPr>
      </w:pPr>
      <w:r>
        <w:t>Project path - for councils, developers, and iwi across all other parts of New Zealand.</w:t>
      </w:r>
    </w:p>
    <w:p w14:paraId="5FF26EEA" w14:textId="163E2DC5" w:rsidR="00052F62" w:rsidRPr="00052F62" w:rsidRDefault="00052F62" w:rsidP="00052F62">
      <w:pPr>
        <w:pStyle w:val="ListParagraph"/>
        <w:numPr>
          <w:ilvl w:val="0"/>
          <w:numId w:val="12"/>
        </w:numPr>
        <w:ind w:left="709"/>
        <w:rPr>
          <w:rStyle w:val="A1"/>
          <w:rFonts w:cstheme="minorBidi"/>
          <w:b w:val="0"/>
          <w:bCs w:val="0"/>
          <w:color w:val="auto"/>
        </w:rPr>
      </w:pPr>
      <w:r w:rsidRPr="00052F62">
        <w:rPr>
          <w:rStyle w:val="A1"/>
          <w:rFonts w:cstheme="minorBidi"/>
          <w:b w:val="0"/>
          <w:bCs w:val="0"/>
          <w:color w:val="auto"/>
        </w:rPr>
        <w:t xml:space="preserve">Timaru District fits into the ‘Project Path’ structure for the Fund.  </w:t>
      </w:r>
    </w:p>
    <w:p w14:paraId="433C3EBE" w14:textId="4A5A49BC" w:rsidR="006F3D88" w:rsidRDefault="006F3D88" w:rsidP="00052F62">
      <w:pPr>
        <w:pStyle w:val="ListParagraph"/>
        <w:numPr>
          <w:ilvl w:val="0"/>
          <w:numId w:val="12"/>
        </w:numPr>
        <w:ind w:left="709"/>
      </w:pPr>
      <w:r w:rsidRPr="00052F62">
        <w:t>These paths include a fast-track process where some first-stage proposals can progress quickly to final investment decisions.</w:t>
      </w:r>
    </w:p>
    <w:p w14:paraId="535D2623" w14:textId="694A550B" w:rsidR="00052F62" w:rsidRDefault="00052F62" w:rsidP="00052F62">
      <w:pPr>
        <w:pStyle w:val="NoSpacing"/>
      </w:pPr>
    </w:p>
    <w:p w14:paraId="52C852C3" w14:textId="77777777" w:rsidR="008A5B3C" w:rsidRDefault="008A5B3C" w:rsidP="008A5B3C">
      <w:pPr>
        <w:pStyle w:val="Heading1"/>
        <w:jc w:val="center"/>
      </w:pPr>
      <w:r>
        <w:lastRenderedPageBreak/>
        <w:t>Timaru District Council Local Expression of Interest Application Form</w:t>
      </w:r>
    </w:p>
    <w:p w14:paraId="63AD687A" w14:textId="262F370A" w:rsidR="008A5B3C" w:rsidRDefault="008A5B3C" w:rsidP="008A5B3C">
      <w:pPr>
        <w:pStyle w:val="Heading1"/>
        <w:jc w:val="center"/>
      </w:pPr>
      <w:r>
        <w:t>For the Government Infrastructure Acceleration Fund</w:t>
      </w:r>
      <w:r w:rsidR="003B486D">
        <w:t xml:space="preserve"> EOI</w:t>
      </w:r>
      <w:r w:rsidR="00E26340">
        <w:t xml:space="preserve"> to deliver 30+ affordable houses in the Timaru district</w:t>
      </w:r>
    </w:p>
    <w:p w14:paraId="79AD2A4A" w14:textId="77777777" w:rsidR="008A5B3C" w:rsidRPr="008A5B3C" w:rsidRDefault="008A5B3C" w:rsidP="008A5B3C"/>
    <w:tbl>
      <w:tblPr>
        <w:tblStyle w:val="ListTable6Colorful-Accent1"/>
        <w:tblW w:w="0" w:type="auto"/>
        <w:tblInd w:w="-108" w:type="dxa"/>
        <w:tblLook w:val="04A0" w:firstRow="1" w:lastRow="0" w:firstColumn="1" w:lastColumn="0" w:noHBand="0" w:noVBand="1"/>
      </w:tblPr>
      <w:tblGrid>
        <w:gridCol w:w="108"/>
        <w:gridCol w:w="2868"/>
        <w:gridCol w:w="108"/>
        <w:gridCol w:w="5942"/>
        <w:gridCol w:w="108"/>
      </w:tblGrid>
      <w:tr w:rsidR="003B486D" w14:paraId="41999EE4" w14:textId="77777777" w:rsidTr="00A261DF">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46286698" w14:textId="160E8A0A" w:rsidR="003B486D" w:rsidRDefault="003B486D" w:rsidP="006C65E0">
            <w:r>
              <w:t>Proposed Project Name</w:t>
            </w:r>
          </w:p>
        </w:tc>
        <w:tc>
          <w:tcPr>
            <w:tcW w:w="6050" w:type="dxa"/>
            <w:gridSpan w:val="2"/>
          </w:tcPr>
          <w:p w14:paraId="16F49F8D" w14:textId="77777777" w:rsidR="003B486D" w:rsidRDefault="003B486D" w:rsidP="006C65E0">
            <w:pPr>
              <w:cnfStyle w:val="100000000000" w:firstRow="1" w:lastRow="0" w:firstColumn="0" w:lastColumn="0" w:oddVBand="0" w:evenVBand="0" w:oddHBand="0" w:evenHBand="0" w:firstRowFirstColumn="0" w:firstRowLastColumn="0" w:lastRowFirstColumn="0" w:lastRowLastColumn="0"/>
            </w:pPr>
          </w:p>
        </w:tc>
      </w:tr>
      <w:tr w:rsidR="008A5B3C" w14:paraId="62FCCD0D"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C084ECC" w14:textId="30DFE2DA" w:rsidR="008A5B3C" w:rsidRDefault="003B486D" w:rsidP="006C65E0">
            <w:r>
              <w:t>Applicant Name</w:t>
            </w:r>
          </w:p>
        </w:tc>
        <w:tc>
          <w:tcPr>
            <w:tcW w:w="6050" w:type="dxa"/>
            <w:gridSpan w:val="2"/>
          </w:tcPr>
          <w:p w14:paraId="25C3C8D8" w14:textId="77777777" w:rsidR="008A5B3C" w:rsidRPr="00BB4427" w:rsidRDefault="008A5B3C" w:rsidP="006C65E0">
            <w:pPr>
              <w:cnfStyle w:val="000000100000" w:firstRow="0" w:lastRow="0" w:firstColumn="0" w:lastColumn="0" w:oddVBand="0" w:evenVBand="0" w:oddHBand="1" w:evenHBand="0" w:firstRowFirstColumn="0" w:firstRowLastColumn="0" w:lastRowFirstColumn="0" w:lastRowLastColumn="0"/>
              <w:rPr>
                <w:color w:val="auto"/>
              </w:rPr>
            </w:pPr>
          </w:p>
        </w:tc>
      </w:tr>
      <w:tr w:rsidR="008A5B3C" w14:paraId="19DBD109"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1753499C" w14:textId="55171BF5" w:rsidR="008A5B3C" w:rsidRDefault="003B486D" w:rsidP="006C65E0">
            <w:r>
              <w:t>Point of contact</w:t>
            </w:r>
          </w:p>
        </w:tc>
        <w:tc>
          <w:tcPr>
            <w:tcW w:w="6050" w:type="dxa"/>
            <w:gridSpan w:val="2"/>
          </w:tcPr>
          <w:p w14:paraId="4922EA41" w14:textId="77777777" w:rsidR="008A5B3C" w:rsidRPr="00BB4427" w:rsidRDefault="003B486D" w:rsidP="006C65E0">
            <w:pPr>
              <w:cnfStyle w:val="000000000000" w:firstRow="0" w:lastRow="0" w:firstColumn="0" w:lastColumn="0" w:oddVBand="0" w:evenVBand="0" w:oddHBand="0" w:evenHBand="0" w:firstRowFirstColumn="0" w:firstRowLastColumn="0" w:lastRowFirstColumn="0" w:lastRowLastColumn="0"/>
              <w:rPr>
                <w:color w:val="auto"/>
              </w:rPr>
            </w:pPr>
            <w:r w:rsidRPr="00BB4427">
              <w:rPr>
                <w:color w:val="auto"/>
              </w:rPr>
              <w:t>Name:</w:t>
            </w:r>
          </w:p>
          <w:p w14:paraId="19CCD127" w14:textId="77777777" w:rsidR="003B486D" w:rsidRPr="00BB4427" w:rsidRDefault="003B486D" w:rsidP="006C65E0">
            <w:pPr>
              <w:cnfStyle w:val="000000000000" w:firstRow="0" w:lastRow="0" w:firstColumn="0" w:lastColumn="0" w:oddVBand="0" w:evenVBand="0" w:oddHBand="0" w:evenHBand="0" w:firstRowFirstColumn="0" w:firstRowLastColumn="0" w:lastRowFirstColumn="0" w:lastRowLastColumn="0"/>
              <w:rPr>
                <w:color w:val="auto"/>
              </w:rPr>
            </w:pPr>
            <w:r w:rsidRPr="00BB4427">
              <w:rPr>
                <w:color w:val="auto"/>
              </w:rPr>
              <w:t>Phone:</w:t>
            </w:r>
          </w:p>
          <w:p w14:paraId="713BB000" w14:textId="75C765CF" w:rsidR="003B486D" w:rsidRPr="00BB4427" w:rsidRDefault="003B486D" w:rsidP="006C65E0">
            <w:pPr>
              <w:cnfStyle w:val="000000000000" w:firstRow="0" w:lastRow="0" w:firstColumn="0" w:lastColumn="0" w:oddVBand="0" w:evenVBand="0" w:oddHBand="0" w:evenHBand="0" w:firstRowFirstColumn="0" w:firstRowLastColumn="0" w:lastRowFirstColumn="0" w:lastRowLastColumn="0"/>
              <w:rPr>
                <w:color w:val="auto"/>
              </w:rPr>
            </w:pPr>
            <w:r w:rsidRPr="00BB4427">
              <w:rPr>
                <w:color w:val="auto"/>
              </w:rPr>
              <w:t>Email:</w:t>
            </w:r>
          </w:p>
        </w:tc>
      </w:tr>
      <w:tr w:rsidR="00E26340" w14:paraId="76A0FDB4"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81D084A" w14:textId="26A22646" w:rsidR="00E26340" w:rsidRDefault="00E26340" w:rsidP="006C65E0">
            <w:r>
              <w:t xml:space="preserve">Have you read and understood the Governments IAF EOI criteria (yes / no)? </w:t>
            </w:r>
          </w:p>
        </w:tc>
        <w:tc>
          <w:tcPr>
            <w:tcW w:w="6050" w:type="dxa"/>
            <w:gridSpan w:val="2"/>
          </w:tcPr>
          <w:p w14:paraId="4CD3DBB8" w14:textId="77777777" w:rsidR="00E26340" w:rsidRPr="00BB4427" w:rsidRDefault="00E26340" w:rsidP="006C65E0">
            <w:pPr>
              <w:cnfStyle w:val="000000100000" w:firstRow="0" w:lastRow="0" w:firstColumn="0" w:lastColumn="0" w:oddVBand="0" w:evenVBand="0" w:oddHBand="1" w:evenHBand="0" w:firstRowFirstColumn="0" w:firstRowLastColumn="0" w:lastRowFirstColumn="0" w:lastRowLastColumn="0"/>
            </w:pPr>
          </w:p>
        </w:tc>
      </w:tr>
      <w:tr w:rsidR="008A5B3C" w14:paraId="2841A228"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13B228FA" w14:textId="77777777" w:rsidR="008A5B3C" w:rsidRDefault="003B486D" w:rsidP="006C65E0">
            <w:r>
              <w:t>Overview of project</w:t>
            </w:r>
          </w:p>
          <w:p w14:paraId="20EF0270" w14:textId="239BEAAE" w:rsidR="003B486D" w:rsidRDefault="003B486D" w:rsidP="006C65E0">
            <w:r w:rsidRPr="00A4257C">
              <w:rPr>
                <w:sz w:val="18"/>
                <w:szCs w:val="18"/>
              </w:rPr>
              <w:t>(</w:t>
            </w:r>
            <w:r w:rsidR="00BB4427" w:rsidRPr="00A4257C">
              <w:rPr>
                <w:sz w:val="18"/>
                <w:szCs w:val="18"/>
              </w:rPr>
              <w:t>Provide</w:t>
            </w:r>
            <w:r w:rsidRPr="00A4257C">
              <w:rPr>
                <w:sz w:val="18"/>
                <w:szCs w:val="18"/>
              </w:rPr>
              <w:t xml:space="preserve"> a short description of the development</w:t>
            </w:r>
            <w:r w:rsidR="00BB4427" w:rsidRPr="00A4257C">
              <w:rPr>
                <w:sz w:val="18"/>
                <w:szCs w:val="18"/>
              </w:rPr>
              <w:t>/project</w:t>
            </w:r>
            <w:r w:rsidRPr="00A4257C">
              <w:rPr>
                <w:sz w:val="18"/>
                <w:szCs w:val="18"/>
              </w:rPr>
              <w:t>; 200 words max)</w:t>
            </w:r>
          </w:p>
        </w:tc>
        <w:tc>
          <w:tcPr>
            <w:tcW w:w="6050" w:type="dxa"/>
            <w:gridSpan w:val="2"/>
          </w:tcPr>
          <w:p w14:paraId="0C3D570F" w14:textId="60DBB121" w:rsidR="008A5B3C" w:rsidRPr="00BB4427" w:rsidRDefault="008A5B3C" w:rsidP="006C65E0">
            <w:pPr>
              <w:cnfStyle w:val="000000000000" w:firstRow="0" w:lastRow="0" w:firstColumn="0" w:lastColumn="0" w:oddVBand="0" w:evenVBand="0" w:oddHBand="0" w:evenHBand="0" w:firstRowFirstColumn="0" w:firstRowLastColumn="0" w:lastRowFirstColumn="0" w:lastRowLastColumn="0"/>
              <w:rPr>
                <w:color w:val="auto"/>
              </w:rPr>
            </w:pPr>
          </w:p>
        </w:tc>
      </w:tr>
      <w:tr w:rsidR="00E26340" w14:paraId="06EF38AF"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41CCE76B" w14:textId="6682F293" w:rsidR="00E26340" w:rsidRDefault="00E26340" w:rsidP="006C65E0">
            <w:r>
              <w:t xml:space="preserve">Delivery of 30+ affordable houses </w:t>
            </w:r>
            <w:r w:rsidRPr="00E26340">
              <w:rPr>
                <w:sz w:val="18"/>
                <w:szCs w:val="18"/>
              </w:rPr>
              <w:t>(clearly describe how this project will deliver 30+ affordable houses)</w:t>
            </w:r>
          </w:p>
        </w:tc>
        <w:tc>
          <w:tcPr>
            <w:tcW w:w="6050" w:type="dxa"/>
            <w:gridSpan w:val="2"/>
          </w:tcPr>
          <w:p w14:paraId="6CD6C923" w14:textId="77777777" w:rsidR="00E26340" w:rsidRPr="00BB4427" w:rsidRDefault="00E26340" w:rsidP="006C65E0">
            <w:pPr>
              <w:cnfStyle w:val="000000100000" w:firstRow="0" w:lastRow="0" w:firstColumn="0" w:lastColumn="0" w:oddVBand="0" w:evenVBand="0" w:oddHBand="1" w:evenHBand="0" w:firstRowFirstColumn="0" w:firstRowLastColumn="0" w:lastRowFirstColumn="0" w:lastRowLastColumn="0"/>
            </w:pPr>
          </w:p>
        </w:tc>
      </w:tr>
      <w:tr w:rsidR="008A5B3C" w14:paraId="6729C00D"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4310B978" w14:textId="5EAC926C" w:rsidR="00A4257C" w:rsidRDefault="0090575A" w:rsidP="006C65E0">
            <w:pPr>
              <w:rPr>
                <w:b w:val="0"/>
                <w:bCs w:val="0"/>
              </w:rPr>
            </w:pPr>
            <w:r>
              <w:t>Role of the</w:t>
            </w:r>
            <w:r w:rsidR="00BB4427">
              <w:t xml:space="preserve"> Applicant </w:t>
            </w:r>
          </w:p>
          <w:p w14:paraId="78F6ABD9" w14:textId="39BDA9A7" w:rsidR="008A5B3C" w:rsidRDefault="00BB4427" w:rsidP="006C65E0">
            <w:r w:rsidRPr="00A4257C">
              <w:rPr>
                <w:sz w:val="18"/>
                <w:szCs w:val="18"/>
              </w:rPr>
              <w:t>(</w:t>
            </w:r>
            <w:r w:rsidR="00A4257C" w:rsidRPr="00A4257C">
              <w:rPr>
                <w:sz w:val="18"/>
                <w:szCs w:val="18"/>
              </w:rPr>
              <w:t>Identify</w:t>
            </w:r>
            <w:r w:rsidRPr="00A4257C">
              <w:rPr>
                <w:sz w:val="18"/>
                <w:szCs w:val="18"/>
              </w:rPr>
              <w:t xml:space="preserve"> if this will be led by the applicant or other</w:t>
            </w:r>
            <w:r w:rsidR="0090575A">
              <w:rPr>
                <w:sz w:val="18"/>
                <w:szCs w:val="18"/>
              </w:rPr>
              <w:t xml:space="preserve"> and the role the applicant is intending to provide to the proposed project</w:t>
            </w:r>
            <w:r w:rsidRPr="00A4257C">
              <w:rPr>
                <w:sz w:val="18"/>
                <w:szCs w:val="18"/>
              </w:rPr>
              <w:t>)</w:t>
            </w:r>
          </w:p>
        </w:tc>
        <w:tc>
          <w:tcPr>
            <w:tcW w:w="6050" w:type="dxa"/>
            <w:gridSpan w:val="2"/>
          </w:tcPr>
          <w:p w14:paraId="2A2BA370" w14:textId="77777777" w:rsidR="008A5B3C" w:rsidRPr="00BB4427" w:rsidRDefault="008A5B3C" w:rsidP="006C65E0">
            <w:pPr>
              <w:cnfStyle w:val="000000000000" w:firstRow="0" w:lastRow="0" w:firstColumn="0" w:lastColumn="0" w:oddVBand="0" w:evenVBand="0" w:oddHBand="0" w:evenHBand="0" w:firstRowFirstColumn="0" w:firstRowLastColumn="0" w:lastRowFirstColumn="0" w:lastRowLastColumn="0"/>
              <w:rPr>
                <w:color w:val="auto"/>
              </w:rPr>
            </w:pPr>
          </w:p>
        </w:tc>
      </w:tr>
      <w:tr w:rsidR="008A5B3C" w14:paraId="48DA6E4C"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46A62DA" w14:textId="77777777" w:rsidR="008A5B3C" w:rsidRDefault="00BB4427" w:rsidP="006C65E0">
            <w:pPr>
              <w:rPr>
                <w:b w:val="0"/>
                <w:bCs w:val="0"/>
              </w:rPr>
            </w:pPr>
            <w:r>
              <w:t>Role of TDC</w:t>
            </w:r>
          </w:p>
          <w:p w14:paraId="47B98DAF" w14:textId="4ED172EA" w:rsidR="00BB4427" w:rsidRDefault="00BB4427" w:rsidP="006C65E0">
            <w:r w:rsidRPr="00A4257C">
              <w:rPr>
                <w:sz w:val="18"/>
                <w:szCs w:val="18"/>
              </w:rPr>
              <w:t>(</w:t>
            </w:r>
            <w:r w:rsidR="00A4257C">
              <w:rPr>
                <w:sz w:val="18"/>
                <w:szCs w:val="18"/>
              </w:rPr>
              <w:t xml:space="preserve">Identify TDCs role as </w:t>
            </w:r>
            <w:r w:rsidR="0054560C" w:rsidRPr="00A4257C">
              <w:rPr>
                <w:sz w:val="18"/>
                <w:szCs w:val="18"/>
              </w:rPr>
              <w:t>Lead</w:t>
            </w:r>
            <w:r w:rsidRPr="00A4257C">
              <w:rPr>
                <w:sz w:val="18"/>
                <w:szCs w:val="18"/>
              </w:rPr>
              <w:t xml:space="preserve"> </w:t>
            </w:r>
            <w:r w:rsidR="00A4257C">
              <w:rPr>
                <w:sz w:val="18"/>
                <w:szCs w:val="18"/>
              </w:rPr>
              <w:t>A</w:t>
            </w:r>
            <w:r w:rsidRPr="00A4257C">
              <w:rPr>
                <w:sz w:val="18"/>
                <w:szCs w:val="18"/>
              </w:rPr>
              <w:t>pplicant or identify role as a partner</w:t>
            </w:r>
            <w:r w:rsidR="0052221C">
              <w:rPr>
                <w:sz w:val="18"/>
                <w:szCs w:val="18"/>
              </w:rPr>
              <w:t xml:space="preserve"> in your application</w:t>
            </w:r>
            <w:r w:rsidRPr="00A4257C">
              <w:rPr>
                <w:sz w:val="18"/>
                <w:szCs w:val="18"/>
              </w:rPr>
              <w:t>)</w:t>
            </w:r>
          </w:p>
        </w:tc>
        <w:tc>
          <w:tcPr>
            <w:tcW w:w="6050" w:type="dxa"/>
            <w:gridSpan w:val="2"/>
          </w:tcPr>
          <w:p w14:paraId="347D600C" w14:textId="77777777" w:rsidR="008A5B3C" w:rsidRPr="00BB4427" w:rsidRDefault="008A5B3C" w:rsidP="006C65E0">
            <w:pPr>
              <w:cnfStyle w:val="000000100000" w:firstRow="0" w:lastRow="0" w:firstColumn="0" w:lastColumn="0" w:oddVBand="0" w:evenVBand="0" w:oddHBand="1" w:evenHBand="0" w:firstRowFirstColumn="0" w:firstRowLastColumn="0" w:lastRowFirstColumn="0" w:lastRowLastColumn="0"/>
              <w:rPr>
                <w:color w:val="auto"/>
              </w:rPr>
            </w:pPr>
          </w:p>
        </w:tc>
      </w:tr>
      <w:tr w:rsidR="008A5B3C" w14:paraId="5F3AC210"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7EC62D73" w14:textId="681E77F2" w:rsidR="008A5B3C" w:rsidRDefault="00BB4427" w:rsidP="006C65E0">
            <w:r>
              <w:t>Other partners and their proposed roles</w:t>
            </w:r>
          </w:p>
        </w:tc>
        <w:tc>
          <w:tcPr>
            <w:tcW w:w="6050" w:type="dxa"/>
            <w:gridSpan w:val="2"/>
          </w:tcPr>
          <w:p w14:paraId="13CA9ECC" w14:textId="77777777" w:rsidR="008A5B3C" w:rsidRPr="00BB4427" w:rsidRDefault="008A5B3C" w:rsidP="006C65E0">
            <w:pPr>
              <w:cnfStyle w:val="000000000000" w:firstRow="0" w:lastRow="0" w:firstColumn="0" w:lastColumn="0" w:oddVBand="0" w:evenVBand="0" w:oddHBand="0" w:evenHBand="0" w:firstRowFirstColumn="0" w:firstRowLastColumn="0" w:lastRowFirstColumn="0" w:lastRowLastColumn="0"/>
              <w:rPr>
                <w:color w:val="auto"/>
              </w:rPr>
            </w:pPr>
          </w:p>
        </w:tc>
      </w:tr>
      <w:tr w:rsidR="008A5B3C" w14:paraId="5A6FC26F"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2019CC8F" w14:textId="77777777" w:rsidR="008A5B3C" w:rsidRDefault="0090575A" w:rsidP="006C65E0">
            <w:pPr>
              <w:rPr>
                <w:b w:val="0"/>
                <w:bCs w:val="0"/>
              </w:rPr>
            </w:pPr>
            <w:r>
              <w:t xml:space="preserve">Contribution to proposed </w:t>
            </w:r>
            <w:proofErr w:type="gramStart"/>
            <w:r>
              <w:t>project</w:t>
            </w:r>
            <w:proofErr w:type="gramEnd"/>
          </w:p>
          <w:p w14:paraId="6C33C45D" w14:textId="0E4945DB" w:rsidR="0090575A" w:rsidRDefault="0090575A" w:rsidP="006C65E0">
            <w:r w:rsidRPr="0090575A">
              <w:rPr>
                <w:sz w:val="18"/>
                <w:szCs w:val="18"/>
              </w:rPr>
              <w:t xml:space="preserve">(Provide a summary of estimated funding, resourcing, </w:t>
            </w:r>
            <w:proofErr w:type="spellStart"/>
            <w:r w:rsidRPr="0090575A">
              <w:rPr>
                <w:sz w:val="18"/>
                <w:szCs w:val="18"/>
              </w:rPr>
              <w:t>ect</w:t>
            </w:r>
            <w:proofErr w:type="spellEnd"/>
            <w:r w:rsidRPr="0090575A">
              <w:rPr>
                <w:sz w:val="18"/>
                <w:szCs w:val="18"/>
              </w:rPr>
              <w:t xml:space="preserve"> that will be provided)</w:t>
            </w:r>
          </w:p>
        </w:tc>
        <w:tc>
          <w:tcPr>
            <w:tcW w:w="6050" w:type="dxa"/>
            <w:gridSpan w:val="2"/>
          </w:tcPr>
          <w:p w14:paraId="19011AD9" w14:textId="77777777" w:rsidR="008A5B3C" w:rsidRPr="00BB4427" w:rsidRDefault="008A5B3C" w:rsidP="006C65E0">
            <w:pPr>
              <w:cnfStyle w:val="000000100000" w:firstRow="0" w:lastRow="0" w:firstColumn="0" w:lastColumn="0" w:oddVBand="0" w:evenVBand="0" w:oddHBand="1" w:evenHBand="0" w:firstRowFirstColumn="0" w:firstRowLastColumn="0" w:lastRowFirstColumn="0" w:lastRowLastColumn="0"/>
              <w:rPr>
                <w:color w:val="auto"/>
              </w:rPr>
            </w:pPr>
          </w:p>
        </w:tc>
      </w:tr>
      <w:tr w:rsidR="00A261DF" w14:paraId="5B4D5CF0"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3E861B4" w14:textId="5160AEB3" w:rsidR="00A261DF" w:rsidRDefault="00A261DF" w:rsidP="006C65E0">
            <w:pPr>
              <w:rPr>
                <w:b w:val="0"/>
                <w:bCs w:val="0"/>
              </w:rPr>
            </w:pPr>
            <w:r>
              <w:t xml:space="preserve">What is required from TDC to make this successful? </w:t>
            </w:r>
          </w:p>
          <w:p w14:paraId="144FFBBE" w14:textId="3592F4FC" w:rsidR="00A261DF" w:rsidRDefault="00A261DF" w:rsidP="006C65E0">
            <w:r w:rsidRPr="00A261DF">
              <w:rPr>
                <w:sz w:val="18"/>
                <w:szCs w:val="18"/>
              </w:rPr>
              <w:t>(Identify infrastructure requirements, or other support required)</w:t>
            </w:r>
          </w:p>
        </w:tc>
        <w:tc>
          <w:tcPr>
            <w:tcW w:w="6050" w:type="dxa"/>
            <w:gridSpan w:val="2"/>
          </w:tcPr>
          <w:p w14:paraId="5B796610" w14:textId="77777777" w:rsidR="00A261DF" w:rsidRPr="00BB4427" w:rsidRDefault="00A261DF" w:rsidP="006C65E0">
            <w:pPr>
              <w:cnfStyle w:val="000000000000" w:firstRow="0" w:lastRow="0" w:firstColumn="0" w:lastColumn="0" w:oddVBand="0" w:evenVBand="0" w:oddHBand="0" w:evenHBand="0" w:firstRowFirstColumn="0" w:firstRowLastColumn="0" w:lastRowFirstColumn="0" w:lastRowLastColumn="0"/>
            </w:pPr>
          </w:p>
        </w:tc>
      </w:tr>
      <w:tr w:rsidR="00A261DF" w14:paraId="10832870" w14:textId="77777777" w:rsidTr="006B3C14">
        <w:trPr>
          <w:gridBefore w:val="1"/>
          <w:cnfStyle w:val="000000100000" w:firstRow="0" w:lastRow="0" w:firstColumn="0" w:lastColumn="0" w:oddVBand="0" w:evenVBand="0" w:oddHBand="1" w:evenHBand="0" w:firstRowFirstColumn="0" w:firstRowLastColumn="0" w:lastRowFirstColumn="0" w:lastRowLastColumn="0"/>
          <w:wBefore w:w="108" w:type="dxa"/>
          <w:trHeight w:val="679"/>
        </w:trPr>
        <w:tc>
          <w:tcPr>
            <w:cnfStyle w:val="001000000000" w:firstRow="0" w:lastRow="0" w:firstColumn="1" w:lastColumn="0" w:oddVBand="0" w:evenVBand="0" w:oddHBand="0" w:evenHBand="0" w:firstRowFirstColumn="0" w:firstRowLastColumn="0" w:lastRowFirstColumn="0" w:lastRowLastColumn="0"/>
            <w:tcW w:w="9026" w:type="dxa"/>
            <w:gridSpan w:val="4"/>
          </w:tcPr>
          <w:p w14:paraId="67FD19B9" w14:textId="77777777" w:rsidR="00A261DF" w:rsidRDefault="00A261DF" w:rsidP="006C65E0">
            <w:pPr>
              <w:rPr>
                <w:b w:val="0"/>
                <w:bCs w:val="0"/>
              </w:rPr>
            </w:pPr>
            <w:r>
              <w:t>Meeting the Government IAF EOI Criteria</w:t>
            </w:r>
          </w:p>
          <w:p w14:paraId="18BFC8B3" w14:textId="759E0C78" w:rsidR="00A261DF" w:rsidRPr="00BB4427" w:rsidRDefault="00A261DF" w:rsidP="006C65E0">
            <w:pPr>
              <w:rPr>
                <w:color w:val="auto"/>
              </w:rPr>
            </w:pPr>
            <w:r w:rsidRPr="006B3C14">
              <w:rPr>
                <w:sz w:val="18"/>
                <w:szCs w:val="18"/>
              </w:rPr>
              <w:t>(</w:t>
            </w:r>
            <w:r w:rsidR="006B3C14" w:rsidRPr="006B3C14">
              <w:rPr>
                <w:sz w:val="18"/>
                <w:szCs w:val="18"/>
              </w:rPr>
              <w:t>Explain</w:t>
            </w:r>
            <w:r w:rsidRPr="006B3C14">
              <w:rPr>
                <w:sz w:val="18"/>
                <w:szCs w:val="18"/>
              </w:rPr>
              <w:t xml:space="preserve"> how your proposed project will contribute to the </w:t>
            </w:r>
            <w:r w:rsidR="006B3C14" w:rsidRPr="006B3C14">
              <w:rPr>
                <w:sz w:val="18"/>
                <w:szCs w:val="18"/>
              </w:rPr>
              <w:t>Governments criteria. Please keep this short and provide an indication of any supporting evidence)</w:t>
            </w:r>
          </w:p>
        </w:tc>
      </w:tr>
      <w:tr w:rsidR="00AF7B99" w14:paraId="723D580B" w14:textId="77777777" w:rsidTr="00A261DF">
        <w:trPr>
          <w:gridAfter w:val="1"/>
          <w:wAfter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ACC90F4" w14:textId="4E8D793C" w:rsidR="00AF7B99" w:rsidRPr="00A261DF" w:rsidRDefault="00AF7B99" w:rsidP="00A261DF">
            <w:pPr>
              <w:pStyle w:val="ListParagraph"/>
              <w:numPr>
                <w:ilvl w:val="0"/>
                <w:numId w:val="14"/>
              </w:numPr>
            </w:pPr>
            <w:r w:rsidRPr="00A261DF">
              <w:t>Housing outcomes (40%): how will the Proposal, if delivered, contribute to the housing outcomes that are the purpose of the Infrastructure Fund?</w:t>
            </w:r>
          </w:p>
        </w:tc>
        <w:tc>
          <w:tcPr>
            <w:tcW w:w="6050" w:type="dxa"/>
            <w:gridSpan w:val="2"/>
          </w:tcPr>
          <w:p w14:paraId="54E1B72F" w14:textId="77777777" w:rsidR="00AF7B99" w:rsidRPr="00BB4427" w:rsidRDefault="00AF7B99" w:rsidP="006C65E0">
            <w:pPr>
              <w:cnfStyle w:val="000000000000" w:firstRow="0" w:lastRow="0" w:firstColumn="0" w:lastColumn="0" w:oddVBand="0" w:evenVBand="0" w:oddHBand="0" w:evenHBand="0" w:firstRowFirstColumn="0" w:firstRowLastColumn="0" w:lastRowFirstColumn="0" w:lastRowLastColumn="0"/>
            </w:pPr>
          </w:p>
        </w:tc>
      </w:tr>
      <w:tr w:rsidR="00AF7B99" w14:paraId="1F0477AB" w14:textId="77777777" w:rsidTr="00A261DF">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2FE2E5C1" w14:textId="5E286B7B" w:rsidR="00AF7B99" w:rsidRPr="00A261DF" w:rsidRDefault="00AF7B99" w:rsidP="00A261DF">
            <w:pPr>
              <w:pStyle w:val="ListParagraph"/>
              <w:numPr>
                <w:ilvl w:val="0"/>
                <w:numId w:val="14"/>
              </w:numPr>
            </w:pPr>
            <w:r w:rsidRPr="00A261DF">
              <w:lastRenderedPageBreak/>
              <w:t>Impact of funding (20%): how critical is this funding to advancing the infrastructure and housing development?</w:t>
            </w:r>
          </w:p>
        </w:tc>
        <w:tc>
          <w:tcPr>
            <w:tcW w:w="6050" w:type="dxa"/>
            <w:gridSpan w:val="2"/>
          </w:tcPr>
          <w:p w14:paraId="2E94D6E2" w14:textId="77777777" w:rsidR="00AF7B99" w:rsidRPr="00BB4427" w:rsidRDefault="00AF7B99" w:rsidP="006C65E0">
            <w:pPr>
              <w:cnfStyle w:val="000000100000" w:firstRow="0" w:lastRow="0" w:firstColumn="0" w:lastColumn="0" w:oddVBand="0" w:evenVBand="0" w:oddHBand="1" w:evenHBand="0" w:firstRowFirstColumn="0" w:firstRowLastColumn="0" w:lastRowFirstColumn="0" w:lastRowLastColumn="0"/>
            </w:pPr>
          </w:p>
        </w:tc>
      </w:tr>
      <w:tr w:rsidR="00AF7B99" w14:paraId="371823F8" w14:textId="77777777" w:rsidTr="00A261DF">
        <w:trPr>
          <w:gridAfter w:val="1"/>
          <w:wAfter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3AE605F9" w14:textId="5DF42A9D" w:rsidR="00AF7B99" w:rsidRPr="00A261DF" w:rsidRDefault="00AF7B99" w:rsidP="00A261DF">
            <w:pPr>
              <w:pStyle w:val="ListParagraph"/>
              <w:numPr>
                <w:ilvl w:val="0"/>
                <w:numId w:val="14"/>
              </w:numPr>
            </w:pPr>
            <w:r w:rsidRPr="00A261DF">
              <w:t>Cost and co-funding (20%): how cost effective is the Proposal and is everyone paying their fair share?</w:t>
            </w:r>
          </w:p>
        </w:tc>
        <w:tc>
          <w:tcPr>
            <w:tcW w:w="6050" w:type="dxa"/>
            <w:gridSpan w:val="2"/>
          </w:tcPr>
          <w:p w14:paraId="257FE8F1" w14:textId="77777777" w:rsidR="00AF7B99" w:rsidRPr="00BB4427" w:rsidRDefault="00AF7B99" w:rsidP="006C65E0">
            <w:pPr>
              <w:cnfStyle w:val="000000000000" w:firstRow="0" w:lastRow="0" w:firstColumn="0" w:lastColumn="0" w:oddVBand="0" w:evenVBand="0" w:oddHBand="0" w:evenHBand="0" w:firstRowFirstColumn="0" w:firstRowLastColumn="0" w:lastRowFirstColumn="0" w:lastRowLastColumn="0"/>
            </w:pPr>
          </w:p>
        </w:tc>
      </w:tr>
      <w:tr w:rsidR="00AF7B99" w14:paraId="25206CD4" w14:textId="77777777" w:rsidTr="00A261DF">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137DEE58" w14:textId="4D1FD8AB" w:rsidR="00AF7B99" w:rsidRPr="00A261DF" w:rsidRDefault="00AF7B99" w:rsidP="00A261DF">
            <w:pPr>
              <w:pStyle w:val="ListParagraph"/>
              <w:numPr>
                <w:ilvl w:val="0"/>
                <w:numId w:val="14"/>
              </w:numPr>
            </w:pPr>
            <w:r w:rsidRPr="00A261DF">
              <w:t>Capability and readiness (20%): if funding is approved, how certain is it that the project will advance, and at what pace?</w:t>
            </w:r>
          </w:p>
        </w:tc>
        <w:tc>
          <w:tcPr>
            <w:tcW w:w="6050" w:type="dxa"/>
            <w:gridSpan w:val="2"/>
          </w:tcPr>
          <w:p w14:paraId="612D6249" w14:textId="77777777" w:rsidR="00AF7B99" w:rsidRPr="00BB4427" w:rsidRDefault="00AF7B99" w:rsidP="006C65E0">
            <w:pPr>
              <w:cnfStyle w:val="000000100000" w:firstRow="0" w:lastRow="0" w:firstColumn="0" w:lastColumn="0" w:oddVBand="0" w:evenVBand="0" w:oddHBand="1" w:evenHBand="0" w:firstRowFirstColumn="0" w:firstRowLastColumn="0" w:lastRowFirstColumn="0" w:lastRowLastColumn="0"/>
            </w:pPr>
          </w:p>
        </w:tc>
      </w:tr>
      <w:tr w:rsidR="006B3C14" w14:paraId="7BFEDE5F" w14:textId="77777777" w:rsidTr="00A261DF">
        <w:trPr>
          <w:gridBefore w:val="1"/>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48762DA0" w14:textId="77777777" w:rsidR="006B3C14" w:rsidRDefault="006B3C14" w:rsidP="006C65E0">
            <w:pPr>
              <w:rPr>
                <w:b w:val="0"/>
                <w:bCs w:val="0"/>
              </w:rPr>
            </w:pPr>
            <w:r>
              <w:t>Delivery timeline</w:t>
            </w:r>
          </w:p>
          <w:p w14:paraId="79CCC73C" w14:textId="5D4ABDDA" w:rsidR="006B3C14" w:rsidRDefault="006B3C14" w:rsidP="006C65E0">
            <w:r w:rsidRPr="006B3C14">
              <w:rPr>
                <w:sz w:val="18"/>
                <w:szCs w:val="18"/>
              </w:rPr>
              <w:t>(</w:t>
            </w:r>
            <w:proofErr w:type="gramStart"/>
            <w:r w:rsidRPr="006B3C14">
              <w:rPr>
                <w:sz w:val="18"/>
                <w:szCs w:val="18"/>
              </w:rPr>
              <w:t>identify</w:t>
            </w:r>
            <w:proofErr w:type="gramEnd"/>
            <w:r w:rsidRPr="006B3C14">
              <w:rPr>
                <w:sz w:val="18"/>
                <w:szCs w:val="18"/>
              </w:rPr>
              <w:t xml:space="preserve"> a brief overview of start and completion dates with high level milestones)</w:t>
            </w:r>
          </w:p>
        </w:tc>
        <w:tc>
          <w:tcPr>
            <w:tcW w:w="6050" w:type="dxa"/>
            <w:gridSpan w:val="2"/>
          </w:tcPr>
          <w:p w14:paraId="400431FF" w14:textId="77777777" w:rsidR="006B3C14" w:rsidRPr="00BB4427" w:rsidRDefault="006B3C14" w:rsidP="006C65E0">
            <w:pPr>
              <w:cnfStyle w:val="000000000000" w:firstRow="0" w:lastRow="0" w:firstColumn="0" w:lastColumn="0" w:oddVBand="0" w:evenVBand="0" w:oddHBand="0" w:evenHBand="0" w:firstRowFirstColumn="0" w:firstRowLastColumn="0" w:lastRowFirstColumn="0" w:lastRowLastColumn="0"/>
            </w:pPr>
          </w:p>
        </w:tc>
      </w:tr>
      <w:tr w:rsidR="00AF7B99" w14:paraId="0DB7F69C" w14:textId="77777777" w:rsidTr="00A261DF">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976" w:type="dxa"/>
            <w:gridSpan w:val="2"/>
          </w:tcPr>
          <w:p w14:paraId="04879F75" w14:textId="007A3B2A" w:rsidR="00AF7B99" w:rsidRDefault="006B3C14" w:rsidP="006C65E0">
            <w:pPr>
              <w:rPr>
                <w:b w:val="0"/>
                <w:bCs w:val="0"/>
              </w:rPr>
            </w:pPr>
            <w:r>
              <w:t>Other Supporting Information</w:t>
            </w:r>
          </w:p>
          <w:p w14:paraId="5ABA784F" w14:textId="1656ED96" w:rsidR="006B3C14" w:rsidRDefault="006B3C14" w:rsidP="006C65E0">
            <w:r>
              <w:t>Attach any maps or plans that can provide additional detail.</w:t>
            </w:r>
          </w:p>
        </w:tc>
        <w:tc>
          <w:tcPr>
            <w:tcW w:w="6050" w:type="dxa"/>
            <w:gridSpan w:val="2"/>
          </w:tcPr>
          <w:p w14:paraId="3EA65281" w14:textId="77777777" w:rsidR="00AF7B99" w:rsidRPr="00BB4427" w:rsidRDefault="00AF7B99" w:rsidP="006C65E0">
            <w:pPr>
              <w:cnfStyle w:val="000000100000" w:firstRow="0" w:lastRow="0" w:firstColumn="0" w:lastColumn="0" w:oddVBand="0" w:evenVBand="0" w:oddHBand="1" w:evenHBand="0" w:firstRowFirstColumn="0" w:firstRowLastColumn="0" w:lastRowFirstColumn="0" w:lastRowLastColumn="0"/>
            </w:pPr>
          </w:p>
        </w:tc>
      </w:tr>
    </w:tbl>
    <w:p w14:paraId="6066326E" w14:textId="4BA9A052" w:rsidR="006C65E0" w:rsidRDefault="006C65E0" w:rsidP="006C65E0"/>
    <w:p w14:paraId="0AF31A1B" w14:textId="200EA11C" w:rsidR="006C65E0" w:rsidRPr="006C65E0" w:rsidRDefault="006C65E0" w:rsidP="006C65E0"/>
    <w:sectPr w:rsidR="006C65E0" w:rsidRPr="006C65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E729" w14:textId="77777777" w:rsidR="00230EA0" w:rsidRDefault="00230EA0" w:rsidP="00641AB3">
      <w:pPr>
        <w:spacing w:after="0" w:line="240" w:lineRule="auto"/>
      </w:pPr>
      <w:r>
        <w:separator/>
      </w:r>
    </w:p>
  </w:endnote>
  <w:endnote w:type="continuationSeparator" w:id="0">
    <w:p w14:paraId="3191B79B" w14:textId="77777777" w:rsidR="00230EA0" w:rsidRDefault="00230EA0" w:rsidP="0064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stan Book">
    <w:altName w:val="Calibri"/>
    <w:panose1 w:val="00000000000000000000"/>
    <w:charset w:val="00"/>
    <w:family w:val="swiss"/>
    <w:notTrueType/>
    <w:pitch w:val="default"/>
    <w:sig w:usb0="00000007" w:usb1="00000000" w:usb2="00000000" w:usb3="00000000" w:csb0="00000003" w:csb1="00000000"/>
  </w:font>
  <w:font w:name="Gustan Bold">
    <w:altName w:val="Gustan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6609" w14:textId="77777777" w:rsidR="00230EA0" w:rsidRDefault="00230EA0" w:rsidP="00641AB3">
      <w:pPr>
        <w:spacing w:after="0" w:line="240" w:lineRule="auto"/>
      </w:pPr>
      <w:r>
        <w:separator/>
      </w:r>
    </w:p>
  </w:footnote>
  <w:footnote w:type="continuationSeparator" w:id="0">
    <w:p w14:paraId="7C92C72D" w14:textId="77777777" w:rsidR="00230EA0" w:rsidRDefault="00230EA0" w:rsidP="0064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CE2" w14:textId="5C6686A5" w:rsidR="00641AB3" w:rsidRDefault="00641AB3">
    <w:pPr>
      <w:pStyle w:val="Header"/>
    </w:pPr>
    <w:r>
      <w:rPr>
        <w:noProof/>
      </w:rPr>
      <w:drawing>
        <wp:anchor distT="0" distB="0" distL="114300" distR="114300" simplePos="0" relativeHeight="251659264" behindDoc="0" locked="0" layoutInCell="1" allowOverlap="1" wp14:anchorId="64483DA8" wp14:editId="224B4535">
          <wp:simplePos x="0" y="0"/>
          <wp:positionH relativeFrom="margin">
            <wp:align>center</wp:align>
          </wp:positionH>
          <wp:positionV relativeFrom="paragraph">
            <wp:posOffset>-181610</wp:posOffset>
          </wp:positionV>
          <wp:extent cx="918845" cy="642620"/>
          <wp:effectExtent l="0" t="0" r="0" b="5080"/>
          <wp:wrapNone/>
          <wp:docPr id="2" name="Picture 2" descr="Timaru District Council - South Canterbury Distric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aru District Council - South Canterbury District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642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19F"/>
    <w:multiLevelType w:val="hybridMultilevel"/>
    <w:tmpl w:val="5D8AD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1906AD"/>
    <w:multiLevelType w:val="hybridMultilevel"/>
    <w:tmpl w:val="12DE52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A824D1"/>
    <w:multiLevelType w:val="hybridMultilevel"/>
    <w:tmpl w:val="7188E08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1017CC1"/>
    <w:multiLevelType w:val="hybridMultilevel"/>
    <w:tmpl w:val="A7889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4D6243"/>
    <w:multiLevelType w:val="hybridMultilevel"/>
    <w:tmpl w:val="F3D03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AA1F9C"/>
    <w:multiLevelType w:val="hybridMultilevel"/>
    <w:tmpl w:val="B38EC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443B2F"/>
    <w:multiLevelType w:val="hybridMultilevel"/>
    <w:tmpl w:val="4FF4D1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598D7F6">
      <w:start w:val="1"/>
      <w:numFmt w:val="lowerRoman"/>
      <w:lvlText w:val="(%3)"/>
      <w:lvlJc w:val="left"/>
      <w:pPr>
        <w:ind w:left="2700" w:hanging="720"/>
      </w:pPr>
      <w:rPr>
        <w:rFonts w:hint="default"/>
        <w:b/>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06770A7"/>
    <w:multiLevelType w:val="hybridMultilevel"/>
    <w:tmpl w:val="23361FF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8" w15:restartNumberingAfterBreak="0">
    <w:nsid w:val="50B61CE4"/>
    <w:multiLevelType w:val="hybridMultilevel"/>
    <w:tmpl w:val="3A6A587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51015D6C"/>
    <w:multiLevelType w:val="hybridMultilevel"/>
    <w:tmpl w:val="56B00B5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5334C77"/>
    <w:multiLevelType w:val="hybridMultilevel"/>
    <w:tmpl w:val="5F0A9FE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73B41C1B"/>
    <w:multiLevelType w:val="multilevel"/>
    <w:tmpl w:val="F28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02B65"/>
    <w:multiLevelType w:val="hybridMultilevel"/>
    <w:tmpl w:val="1B943E1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CBF6C56"/>
    <w:multiLevelType w:val="hybridMultilevel"/>
    <w:tmpl w:val="ECA29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1"/>
  </w:num>
  <w:num w:numId="5">
    <w:abstractNumId w:val="9"/>
  </w:num>
  <w:num w:numId="6">
    <w:abstractNumId w:val="13"/>
  </w:num>
  <w:num w:numId="7">
    <w:abstractNumId w:val="0"/>
  </w:num>
  <w:num w:numId="8">
    <w:abstractNumId w:val="11"/>
  </w:num>
  <w:num w:numId="9">
    <w:abstractNumId w:val="8"/>
  </w:num>
  <w:num w:numId="10">
    <w:abstractNumId w:val="3"/>
  </w:num>
  <w:num w:numId="11">
    <w:abstractNumId w:val="2"/>
  </w:num>
  <w:num w:numId="12">
    <w:abstractNumId w:val="12"/>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B3"/>
    <w:rsid w:val="00031101"/>
    <w:rsid w:val="00034EFA"/>
    <w:rsid w:val="00036C14"/>
    <w:rsid w:val="00052F62"/>
    <w:rsid w:val="00083C20"/>
    <w:rsid w:val="00185951"/>
    <w:rsid w:val="001A7311"/>
    <w:rsid w:val="00230EA0"/>
    <w:rsid w:val="00252150"/>
    <w:rsid w:val="00311FCB"/>
    <w:rsid w:val="003B486D"/>
    <w:rsid w:val="003F06A3"/>
    <w:rsid w:val="003F5C12"/>
    <w:rsid w:val="00460AB0"/>
    <w:rsid w:val="0052221C"/>
    <w:rsid w:val="0054560C"/>
    <w:rsid w:val="005634D2"/>
    <w:rsid w:val="0058733F"/>
    <w:rsid w:val="006364B8"/>
    <w:rsid w:val="00641AB3"/>
    <w:rsid w:val="0068096A"/>
    <w:rsid w:val="006B3C14"/>
    <w:rsid w:val="006C65E0"/>
    <w:rsid w:val="006C6DB6"/>
    <w:rsid w:val="006D4746"/>
    <w:rsid w:val="006E7383"/>
    <w:rsid w:val="006F3D88"/>
    <w:rsid w:val="00707FE9"/>
    <w:rsid w:val="008411A2"/>
    <w:rsid w:val="0088160B"/>
    <w:rsid w:val="008A5B3C"/>
    <w:rsid w:val="008B3082"/>
    <w:rsid w:val="0090575A"/>
    <w:rsid w:val="009119BF"/>
    <w:rsid w:val="009726F5"/>
    <w:rsid w:val="00A0414C"/>
    <w:rsid w:val="00A261DF"/>
    <w:rsid w:val="00A4257C"/>
    <w:rsid w:val="00AF0955"/>
    <w:rsid w:val="00AF7B99"/>
    <w:rsid w:val="00B04A4F"/>
    <w:rsid w:val="00B727EE"/>
    <w:rsid w:val="00BB110E"/>
    <w:rsid w:val="00BB4427"/>
    <w:rsid w:val="00C0282C"/>
    <w:rsid w:val="00DF3FC2"/>
    <w:rsid w:val="00E26340"/>
    <w:rsid w:val="00E361C4"/>
    <w:rsid w:val="00E66FD8"/>
    <w:rsid w:val="00E756AA"/>
    <w:rsid w:val="00E937C1"/>
    <w:rsid w:val="00EC5F53"/>
    <w:rsid w:val="00F2389B"/>
    <w:rsid w:val="00F44907"/>
    <w:rsid w:val="00F517E5"/>
    <w:rsid w:val="00F541EC"/>
    <w:rsid w:val="00F860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9861"/>
  <w15:chartTrackingRefBased/>
  <w15:docId w15:val="{CCE58467-FB57-44D7-BFAA-CC6D10E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17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AB3"/>
  </w:style>
  <w:style w:type="paragraph" w:styleId="Footer">
    <w:name w:val="footer"/>
    <w:basedOn w:val="Normal"/>
    <w:link w:val="FooterChar"/>
    <w:uiPriority w:val="99"/>
    <w:unhideWhenUsed/>
    <w:rsid w:val="00641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AB3"/>
  </w:style>
  <w:style w:type="character" w:customStyle="1" w:styleId="Heading1Char">
    <w:name w:val="Heading 1 Char"/>
    <w:basedOn w:val="DefaultParagraphFont"/>
    <w:link w:val="Heading1"/>
    <w:uiPriority w:val="9"/>
    <w:rsid w:val="00641A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1AB3"/>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E756AA"/>
    <w:rPr>
      <w:rFonts w:asciiTheme="majorHAnsi" w:eastAsiaTheme="majorEastAsia" w:hAnsiTheme="majorHAnsi" w:cstheme="majorBidi"/>
      <w:color w:val="2F5496" w:themeColor="accent1" w:themeShade="BF"/>
      <w:sz w:val="26"/>
      <w:szCs w:val="26"/>
    </w:rPr>
  </w:style>
  <w:style w:type="paragraph" w:customStyle="1" w:styleId="Default">
    <w:name w:val="Default"/>
    <w:rsid w:val="006C65E0"/>
    <w:pPr>
      <w:autoSpaceDE w:val="0"/>
      <w:autoSpaceDN w:val="0"/>
      <w:adjustRightInd w:val="0"/>
      <w:spacing w:after="0" w:line="240" w:lineRule="auto"/>
    </w:pPr>
    <w:rPr>
      <w:rFonts w:ascii="Gustan Book" w:hAnsi="Gustan Book" w:cs="Gustan Book"/>
      <w:color w:val="000000"/>
      <w:sz w:val="24"/>
      <w:szCs w:val="24"/>
    </w:rPr>
  </w:style>
  <w:style w:type="character" w:customStyle="1" w:styleId="A1">
    <w:name w:val="A1"/>
    <w:uiPriority w:val="99"/>
    <w:rsid w:val="006C65E0"/>
    <w:rPr>
      <w:rFonts w:cs="Gustan Book"/>
      <w:b/>
      <w:bCs/>
      <w:color w:val="000000"/>
      <w:sz w:val="22"/>
      <w:szCs w:val="22"/>
    </w:rPr>
  </w:style>
  <w:style w:type="paragraph" w:customStyle="1" w:styleId="Pa2">
    <w:name w:val="Pa2"/>
    <w:basedOn w:val="Default"/>
    <w:next w:val="Default"/>
    <w:uiPriority w:val="99"/>
    <w:rsid w:val="006C65E0"/>
    <w:pPr>
      <w:spacing w:line="321" w:lineRule="atLeast"/>
    </w:pPr>
    <w:rPr>
      <w:rFonts w:cstheme="minorBidi"/>
      <w:color w:val="auto"/>
    </w:rPr>
  </w:style>
  <w:style w:type="paragraph" w:customStyle="1" w:styleId="Pa3">
    <w:name w:val="Pa3"/>
    <w:basedOn w:val="Default"/>
    <w:next w:val="Default"/>
    <w:uiPriority w:val="99"/>
    <w:rsid w:val="006F3D88"/>
    <w:pPr>
      <w:spacing w:line="281" w:lineRule="atLeast"/>
    </w:pPr>
    <w:rPr>
      <w:rFonts w:ascii="Gustan Bold" w:hAnsi="Gustan Bold" w:cstheme="minorBidi"/>
      <w:color w:val="auto"/>
    </w:rPr>
  </w:style>
  <w:style w:type="character" w:customStyle="1" w:styleId="A5">
    <w:name w:val="A5"/>
    <w:uiPriority w:val="99"/>
    <w:rsid w:val="006F3D88"/>
    <w:rPr>
      <w:rFonts w:cs="Gustan Bold"/>
      <w:color w:val="000000"/>
      <w:sz w:val="20"/>
      <w:szCs w:val="20"/>
    </w:rPr>
  </w:style>
  <w:style w:type="paragraph" w:customStyle="1" w:styleId="Pa6">
    <w:name w:val="Pa6"/>
    <w:basedOn w:val="Default"/>
    <w:next w:val="Default"/>
    <w:uiPriority w:val="99"/>
    <w:rsid w:val="006F3D88"/>
    <w:pPr>
      <w:spacing w:line="201" w:lineRule="atLeast"/>
    </w:pPr>
    <w:rPr>
      <w:rFonts w:ascii="Gustan Bold" w:hAnsi="Gustan Bold" w:cstheme="minorBidi"/>
      <w:color w:val="auto"/>
    </w:rPr>
  </w:style>
  <w:style w:type="paragraph" w:styleId="NormalWeb">
    <w:name w:val="Normal (Web)"/>
    <w:basedOn w:val="Normal"/>
    <w:uiPriority w:val="99"/>
    <w:semiHidden/>
    <w:unhideWhenUsed/>
    <w:rsid w:val="001A731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1A7311"/>
    <w:rPr>
      <w:color w:val="0000FF"/>
      <w:u w:val="single"/>
    </w:rPr>
  </w:style>
  <w:style w:type="paragraph" w:styleId="NoSpacing">
    <w:name w:val="No Spacing"/>
    <w:uiPriority w:val="1"/>
    <w:qFormat/>
    <w:rsid w:val="00052F62"/>
    <w:pPr>
      <w:spacing w:after="0" w:line="240" w:lineRule="auto"/>
    </w:pPr>
  </w:style>
  <w:style w:type="character" w:customStyle="1" w:styleId="Heading3Char">
    <w:name w:val="Heading 3 Char"/>
    <w:basedOn w:val="DefaultParagraphFont"/>
    <w:link w:val="Heading3"/>
    <w:uiPriority w:val="9"/>
    <w:rsid w:val="00F517E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A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5Dark-Accent5">
    <w:name w:val="List Table 5 Dark Accent 5"/>
    <w:basedOn w:val="TableNormal"/>
    <w:uiPriority w:val="50"/>
    <w:rsid w:val="00BB442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BB442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Barnes</dc:creator>
  <cp:keywords/>
  <dc:description/>
  <cp:lastModifiedBy>Erik Barnes</cp:lastModifiedBy>
  <cp:revision>5</cp:revision>
  <dcterms:created xsi:type="dcterms:W3CDTF">2021-07-15T22:17:00Z</dcterms:created>
  <dcterms:modified xsi:type="dcterms:W3CDTF">2021-07-15T22:26:00Z</dcterms:modified>
</cp:coreProperties>
</file>